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0" w:lineRule="exact"/>
        <w:ind w:firstLine="723" w:firstLineChars="200"/>
        <w:jc w:val="center"/>
        <w:rPr>
          <w:rFonts w:ascii="楷体" w:hAnsi="楷体" w:eastAsia="楷体"/>
          <w:b/>
          <w:kern w:val="0"/>
          <w:sz w:val="36"/>
          <w:szCs w:val="36"/>
        </w:rPr>
      </w:pPr>
      <w:bookmarkStart w:id="0" w:name="_Toc26219_WPSOffice_Level3"/>
      <w:r>
        <w:rPr>
          <w:rFonts w:hint="eastAsia" w:ascii="楷体" w:hAnsi="楷体" w:eastAsia="楷体"/>
          <w:b/>
          <w:kern w:val="0"/>
          <w:sz w:val="36"/>
          <w:szCs w:val="36"/>
        </w:rPr>
        <w:t>法学培养方案</w:t>
      </w:r>
    </w:p>
    <w:p>
      <w:pPr>
        <w:widowControl/>
        <w:spacing w:line="430" w:lineRule="exact"/>
        <w:ind w:firstLine="482" w:firstLineChars="200"/>
        <w:jc w:val="center"/>
        <w:rPr>
          <w:rFonts w:ascii="楷体" w:hAnsi="楷体" w:eastAsia="楷体"/>
          <w:b/>
          <w:kern w:val="0"/>
          <w:sz w:val="24"/>
          <w:szCs w:val="24"/>
        </w:rPr>
      </w:pPr>
    </w:p>
    <w:p>
      <w:pPr>
        <w:widowControl/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一、专业层次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专升本</w:t>
      </w:r>
    </w:p>
    <w:p>
      <w:pPr>
        <w:widowControl/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  <w:bookmarkStart w:id="1" w:name="_Toc28471_WPSOffice_Level3"/>
      <w:r>
        <w:rPr>
          <w:rFonts w:hint="eastAsia" w:ascii="仿宋" w:hAnsi="仿宋" w:eastAsia="仿宋"/>
          <w:b/>
          <w:bCs/>
          <w:sz w:val="28"/>
          <w:szCs w:val="28"/>
        </w:rPr>
        <w:t>二、入学要求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须已具有国民教育系列高等教育（含普通高等教育、高等职业教育、成人高等教育、网络教育、高等教育自学考试）专科及以上毕业证书。</w:t>
      </w:r>
    </w:p>
    <w:p>
      <w:pPr>
        <w:widowControl/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三、培养目标</w:t>
      </w:r>
      <w:bookmarkEnd w:id="1"/>
    </w:p>
    <w:p>
      <w:pPr>
        <w:pStyle w:val="5"/>
        <w:spacing w:beforeLines="0" w:afterLines="0" w:line="400" w:lineRule="exact"/>
        <w:ind w:firstLine="482" w:firstLineChars="0"/>
        <w:rPr>
          <w:rFonts w:ascii="仿宋" w:hAnsi="仿宋" w:eastAsia="仿宋"/>
          <w:kern w:val="2"/>
          <w:sz w:val="24"/>
          <w:szCs w:val="24"/>
        </w:rPr>
      </w:pPr>
      <w:r>
        <w:rPr>
          <w:rFonts w:hint="eastAsia" w:ascii="仿宋" w:hAnsi="仿宋" w:eastAsia="仿宋"/>
          <w:kern w:val="2"/>
          <w:sz w:val="24"/>
          <w:szCs w:val="24"/>
        </w:rPr>
        <w:t>法学专业培养德、智、体、美、劳全面发展，熟悉和坚持中国特色社会主义法治体系，具备合理的知识结构、扎实的专业理论基础、熟练的职业技能和较强的创新创业能力，能适应多样化法律职业要求的复合型、职业型、创新型卓越法治人才。</w:t>
      </w:r>
    </w:p>
    <w:p>
      <w:pPr>
        <w:pStyle w:val="5"/>
        <w:spacing w:beforeLines="0" w:afterLines="0" w:line="400" w:lineRule="exact"/>
        <w:ind w:firstLine="482" w:firstLineChars="0"/>
        <w:rPr>
          <w:rFonts w:ascii="仿宋" w:hAnsi="仿宋" w:eastAsia="仿宋"/>
          <w:kern w:val="2"/>
          <w:sz w:val="24"/>
          <w:szCs w:val="24"/>
        </w:rPr>
      </w:pPr>
      <w:r>
        <w:rPr>
          <w:rFonts w:hint="eastAsia" w:ascii="仿宋" w:hAnsi="仿宋" w:eastAsia="仿宋"/>
          <w:kern w:val="2"/>
          <w:sz w:val="24"/>
          <w:szCs w:val="24"/>
        </w:rPr>
        <w:t>本专业学生毕业后，可以在审判机关、检察机关、行政机关、仲裁机构、企业事业单位和社会团体、法律服务机构、教育机构从事立法、司法、执法、法律服务和法律教育等工作。学生毕业</w:t>
      </w:r>
      <w:r>
        <w:rPr>
          <w:rFonts w:ascii="仿宋" w:hAnsi="仿宋" w:eastAsia="仿宋"/>
          <w:kern w:val="2"/>
          <w:sz w:val="24"/>
          <w:szCs w:val="24"/>
        </w:rPr>
        <w:t>5</w:t>
      </w:r>
      <w:r>
        <w:rPr>
          <w:rFonts w:hint="eastAsia" w:ascii="仿宋" w:hAnsi="仿宋" w:eastAsia="仿宋"/>
          <w:kern w:val="2"/>
          <w:sz w:val="24"/>
          <w:szCs w:val="24"/>
        </w:rPr>
        <w:t>年左右，应能够成为所在单位从事法律相关工作的业务骨干。</w:t>
      </w:r>
    </w:p>
    <w:p>
      <w:pPr>
        <w:widowControl/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四、培养规格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、修业年限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修业年限</w:t>
      </w:r>
      <w:r>
        <w:rPr>
          <w:rFonts w:ascii="仿宋" w:hAnsi="仿宋" w:eastAsia="仿宋"/>
          <w:sz w:val="24"/>
          <w:szCs w:val="24"/>
        </w:rPr>
        <w:t>2.5-5</w:t>
      </w:r>
      <w:r>
        <w:rPr>
          <w:rFonts w:hint="eastAsia" w:ascii="仿宋" w:hAnsi="仿宋" w:eastAsia="仿宋"/>
          <w:sz w:val="24"/>
          <w:szCs w:val="24"/>
        </w:rPr>
        <w:t>年。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学习形式</w:t>
      </w:r>
      <w:bookmarkStart w:id="3" w:name="_GoBack"/>
      <w:bookmarkEnd w:id="3"/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函授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/</w:t>
      </w:r>
      <w:r>
        <w:rPr>
          <w:rFonts w:hint="eastAsia" w:ascii="仿宋" w:hAnsi="仿宋" w:eastAsia="仿宋"/>
          <w:sz w:val="24"/>
          <w:szCs w:val="24"/>
        </w:rPr>
        <w:t>业余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总学时学分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本专业课程共</w:t>
      </w:r>
      <w:r>
        <w:rPr>
          <w:rFonts w:ascii="仿宋" w:hAnsi="仿宋" w:eastAsia="仿宋"/>
          <w:sz w:val="24"/>
          <w:szCs w:val="24"/>
        </w:rPr>
        <w:t>1280</w:t>
      </w:r>
      <w:r>
        <w:rPr>
          <w:rFonts w:hint="eastAsia" w:ascii="仿宋" w:hAnsi="仿宋" w:eastAsia="仿宋"/>
          <w:sz w:val="24"/>
          <w:szCs w:val="24"/>
        </w:rPr>
        <w:t>学时，</w:t>
      </w:r>
      <w:r>
        <w:rPr>
          <w:rFonts w:ascii="仿宋" w:hAnsi="仿宋" w:eastAsia="仿宋"/>
          <w:sz w:val="24"/>
          <w:szCs w:val="24"/>
        </w:rPr>
        <w:t>80</w:t>
      </w:r>
      <w:r>
        <w:rPr>
          <w:rFonts w:hint="eastAsia" w:ascii="仿宋" w:hAnsi="仿宋" w:eastAsia="仿宋"/>
          <w:sz w:val="24"/>
          <w:szCs w:val="24"/>
        </w:rPr>
        <w:t>学分。其中通识教育平台课程</w:t>
      </w:r>
      <w:r>
        <w:rPr>
          <w:rFonts w:ascii="仿宋" w:hAnsi="仿宋" w:eastAsia="仿宋"/>
          <w:sz w:val="24"/>
          <w:szCs w:val="24"/>
        </w:rPr>
        <w:t>328</w:t>
      </w:r>
      <w:r>
        <w:rPr>
          <w:rFonts w:hint="eastAsia" w:ascii="仿宋" w:hAnsi="仿宋" w:eastAsia="仿宋"/>
          <w:sz w:val="24"/>
          <w:szCs w:val="24"/>
        </w:rPr>
        <w:t>学时，计</w:t>
      </w:r>
      <w:r>
        <w:rPr>
          <w:rFonts w:ascii="仿宋" w:hAnsi="仿宋" w:eastAsia="仿宋"/>
          <w:sz w:val="24"/>
          <w:szCs w:val="24"/>
        </w:rPr>
        <w:t>20.5</w:t>
      </w:r>
      <w:r>
        <w:rPr>
          <w:rFonts w:hint="eastAsia" w:ascii="仿宋" w:hAnsi="仿宋" w:eastAsia="仿宋"/>
          <w:sz w:val="24"/>
          <w:szCs w:val="24"/>
        </w:rPr>
        <w:t>学分；专业教育平台课程</w:t>
      </w:r>
      <w:r>
        <w:rPr>
          <w:rFonts w:ascii="仿宋" w:hAnsi="仿宋" w:eastAsia="仿宋"/>
          <w:sz w:val="24"/>
          <w:szCs w:val="24"/>
        </w:rPr>
        <w:t>520</w:t>
      </w:r>
      <w:r>
        <w:rPr>
          <w:rFonts w:hint="eastAsia" w:ascii="仿宋" w:hAnsi="仿宋" w:eastAsia="仿宋"/>
          <w:sz w:val="24"/>
          <w:szCs w:val="24"/>
        </w:rPr>
        <w:t>学时，计</w:t>
      </w:r>
      <w:r>
        <w:rPr>
          <w:rFonts w:ascii="仿宋" w:hAnsi="仿宋" w:eastAsia="仿宋"/>
          <w:sz w:val="24"/>
          <w:szCs w:val="24"/>
        </w:rPr>
        <w:t>32.5</w:t>
      </w:r>
      <w:r>
        <w:rPr>
          <w:rFonts w:hint="eastAsia" w:ascii="仿宋" w:hAnsi="仿宋" w:eastAsia="仿宋"/>
          <w:sz w:val="24"/>
          <w:szCs w:val="24"/>
        </w:rPr>
        <w:t>学分；个性化培养平台课程</w:t>
      </w:r>
      <w:r>
        <w:rPr>
          <w:rFonts w:ascii="仿宋" w:hAnsi="仿宋" w:eastAsia="仿宋"/>
          <w:sz w:val="24"/>
          <w:szCs w:val="24"/>
        </w:rPr>
        <w:t>272</w:t>
      </w:r>
      <w:r>
        <w:rPr>
          <w:rFonts w:hint="eastAsia" w:ascii="仿宋" w:hAnsi="仿宋" w:eastAsia="仿宋"/>
          <w:sz w:val="24"/>
          <w:szCs w:val="24"/>
        </w:rPr>
        <w:t>学时，计</w:t>
      </w:r>
      <w:r>
        <w:rPr>
          <w:rFonts w:ascii="仿宋" w:hAnsi="仿宋" w:eastAsia="仿宋"/>
          <w:sz w:val="24"/>
          <w:szCs w:val="24"/>
        </w:rPr>
        <w:t>17</w:t>
      </w:r>
      <w:r>
        <w:rPr>
          <w:rFonts w:hint="eastAsia" w:ascii="仿宋" w:hAnsi="仿宋" w:eastAsia="仿宋"/>
          <w:sz w:val="24"/>
          <w:szCs w:val="24"/>
        </w:rPr>
        <w:t>学分；集中实践平台课程</w:t>
      </w:r>
      <w:r>
        <w:rPr>
          <w:rFonts w:ascii="仿宋" w:hAnsi="仿宋" w:eastAsia="仿宋"/>
          <w:sz w:val="24"/>
          <w:szCs w:val="24"/>
        </w:rPr>
        <w:t>160</w:t>
      </w:r>
      <w:r>
        <w:rPr>
          <w:rFonts w:hint="eastAsia" w:ascii="仿宋" w:hAnsi="仿宋" w:eastAsia="仿宋"/>
          <w:sz w:val="24"/>
          <w:szCs w:val="24"/>
        </w:rPr>
        <w:t>学时，计</w:t>
      </w:r>
      <w:r>
        <w:rPr>
          <w:rFonts w:ascii="仿宋" w:hAnsi="仿宋" w:eastAsia="仿宋"/>
          <w:sz w:val="24"/>
          <w:szCs w:val="24"/>
        </w:rPr>
        <w:t>10</w:t>
      </w:r>
      <w:r>
        <w:rPr>
          <w:rFonts w:hint="eastAsia" w:ascii="仿宋" w:hAnsi="仿宋" w:eastAsia="仿宋"/>
          <w:sz w:val="24"/>
          <w:szCs w:val="24"/>
        </w:rPr>
        <w:t>学分。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毕业及学位要求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学生完成培养方案规定的课程和学分要求，考核合格，准予毕业。符合学位授予条件的，经申请授予法学学士学位。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人才培养知识、能力和素质要求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本专业毕业生能够具备以下的知识、能力、素质：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）具有系统的法学知识结构和严谨的法律逻辑思维能力，能够识别、分析、表达和评价复杂法律问题。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）能够运用法学原理和现代信息技术工具，针对复杂法律问题设计解决方案，处理相关实务工作，并能兼顾经济社会的可持续发展。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sz w:val="24"/>
          <w:szCs w:val="24"/>
        </w:rPr>
        <w:t>3</w:t>
      </w:r>
      <w:r>
        <w:rPr>
          <w:rFonts w:hint="eastAsia" w:ascii="仿宋" w:hAnsi="仿宋" w:eastAsia="仿宋"/>
          <w:sz w:val="24"/>
          <w:szCs w:val="24"/>
        </w:rPr>
        <w:t>）具有良好的人文、自然科学素养、社会责任感和职业道德，具备解决复杂法律问题的系统性思维、创新性潜质和开阔的国际视野。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>）具有团队合作精神和创新精神，具备较强的组织管理和合作交流能力。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sz w:val="24"/>
          <w:szCs w:val="24"/>
        </w:rPr>
        <w:t>5</w:t>
      </w:r>
      <w:r>
        <w:rPr>
          <w:rFonts w:hint="eastAsia" w:ascii="仿宋" w:hAnsi="仿宋" w:eastAsia="仿宋"/>
          <w:sz w:val="24"/>
          <w:szCs w:val="24"/>
        </w:rPr>
        <w:t>）具有终身学习的理念，并通过各种学习途径能够自我更新知识和提升能力，以不断适应社会发展和环境变化。</w:t>
      </w:r>
    </w:p>
    <w:bookmarkEnd w:id="0"/>
    <w:p>
      <w:pPr>
        <w:widowControl/>
        <w:spacing w:line="430" w:lineRule="exact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五、专业核心课程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法理学、宪法学、民法学总论、刑法学总论、民事诉讼法学、刑事诉讼法学、行政法与行政诉讼法学、经济法学、劳动与社会保障法学、知识产权法学、国际经济法学。</w:t>
      </w:r>
    </w:p>
    <w:p>
      <w:pPr>
        <w:widowControl/>
        <w:spacing w:line="430" w:lineRule="exact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六、学位课程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法理学、刑法学总论、行政法与行政诉讼法学。</w:t>
      </w:r>
    </w:p>
    <w:p>
      <w:pPr>
        <w:widowControl/>
        <w:spacing w:line="430" w:lineRule="exact"/>
        <w:jc w:val="left"/>
        <w:rPr>
          <w:rFonts w:ascii="仿宋" w:hAnsi="仿宋" w:eastAsia="仿宋"/>
          <w:b/>
          <w:sz w:val="28"/>
          <w:szCs w:val="28"/>
        </w:rPr>
      </w:pPr>
      <w:bookmarkStart w:id="2" w:name="_Toc8000_WPSOffice_Level3"/>
      <w:r>
        <w:rPr>
          <w:rFonts w:hint="eastAsia" w:ascii="仿宋" w:hAnsi="仿宋" w:eastAsia="仿宋"/>
          <w:b/>
          <w:sz w:val="28"/>
          <w:szCs w:val="28"/>
        </w:rPr>
        <w:t>七、教学计划进程表</w:t>
      </w:r>
      <w:bookmarkEnd w:id="2"/>
    </w:p>
    <w:tbl>
      <w:tblPr>
        <w:tblStyle w:val="2"/>
        <w:tblW w:w="8684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4"/>
        <w:gridCol w:w="555"/>
        <w:gridCol w:w="510"/>
        <w:gridCol w:w="2595"/>
        <w:gridCol w:w="615"/>
        <w:gridCol w:w="780"/>
        <w:gridCol w:w="900"/>
        <w:gridCol w:w="960"/>
        <w:gridCol w:w="645"/>
        <w:gridCol w:w="57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684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684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学制：2.5年              层次：专升本                形式：函授/业余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课程类别</w:t>
            </w:r>
          </w:p>
        </w:tc>
        <w:tc>
          <w:tcPr>
            <w:tcW w:w="55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51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59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61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总学分</w:t>
            </w:r>
          </w:p>
        </w:tc>
        <w:tc>
          <w:tcPr>
            <w:tcW w:w="264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学时</w:t>
            </w: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开课学期</w:t>
            </w: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总学时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理论学时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实践学时</w:t>
            </w:r>
          </w:p>
        </w:tc>
        <w:tc>
          <w:tcPr>
            <w:tcW w:w="64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通识教育平台</w:t>
            </w:r>
          </w:p>
        </w:tc>
        <w:tc>
          <w:tcPr>
            <w:tcW w:w="5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毛泽东思想和中国特色社会主义理论体系概论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英语B1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英语B2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计算机应用基础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程序设计语言VB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专业教育平台</w:t>
            </w:r>
          </w:p>
        </w:tc>
        <w:tc>
          <w:tcPr>
            <w:tcW w:w="5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法理学*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宪法学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刑法学总论*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民法学总论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刑事诉讼法学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经济法学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知识产权法学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民事诉讼法学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行政法与行政诉讼法学*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劳动与社会保障法学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国际经济法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32.5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个性化培养平台</w:t>
            </w:r>
          </w:p>
        </w:tc>
        <w:tc>
          <w:tcPr>
            <w:tcW w:w="5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选修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法律逻辑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刑法学分论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民法学分论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中国法律史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婚姻家庭继承法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国际法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合同法学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证据法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法律文书写作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国际私法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公司法学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法律职业伦理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财税法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商法学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环境资源法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自开课程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选17学分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集中实践平台</w:t>
            </w:r>
          </w:p>
        </w:tc>
        <w:tc>
          <w:tcPr>
            <w:tcW w:w="5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模拟审判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毕业实习及论文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2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总计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6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备注：带有*号的为学位课程</w:t>
            </w:r>
          </w:p>
        </w:tc>
      </w:tr>
    </w:tbl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</w:p>
    <w:p/>
    <w:p>
      <w:pPr>
        <w:widowControl/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spacing w:line="430" w:lineRule="exact"/>
        <w:jc w:val="left"/>
        <w:rPr>
          <w:rFonts w:ascii="仿宋" w:hAnsi="仿宋" w:eastAsia="仿宋"/>
          <w:b/>
          <w:bCs/>
          <w:sz w:val="28"/>
          <w:szCs w:val="28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/>
    <w:p/>
    <w:p/>
    <w:sectPr>
      <w:pgSz w:w="11906" w:h="16838"/>
      <w:pgMar w:top="1440" w:right="1417" w:bottom="1440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972231"/>
    <w:multiLevelType w:val="singleLevel"/>
    <w:tmpl w:val="68972231"/>
    <w:lvl w:ilvl="0" w:tentative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1E0611C"/>
    <w:rsid w:val="00067D73"/>
    <w:rsid w:val="000B258C"/>
    <w:rsid w:val="0011162C"/>
    <w:rsid w:val="002404D8"/>
    <w:rsid w:val="003B1E63"/>
    <w:rsid w:val="003D4836"/>
    <w:rsid w:val="00470712"/>
    <w:rsid w:val="004D1988"/>
    <w:rsid w:val="00583691"/>
    <w:rsid w:val="006E5D4A"/>
    <w:rsid w:val="00810C30"/>
    <w:rsid w:val="008A4720"/>
    <w:rsid w:val="008F18F5"/>
    <w:rsid w:val="008F7517"/>
    <w:rsid w:val="0094368E"/>
    <w:rsid w:val="0099000A"/>
    <w:rsid w:val="00A6239B"/>
    <w:rsid w:val="00C30240"/>
    <w:rsid w:val="00C34440"/>
    <w:rsid w:val="00CA3941"/>
    <w:rsid w:val="00CA53D7"/>
    <w:rsid w:val="00CF2332"/>
    <w:rsid w:val="00D87D68"/>
    <w:rsid w:val="00DC1DD5"/>
    <w:rsid w:val="00DC314F"/>
    <w:rsid w:val="00DF3B8D"/>
    <w:rsid w:val="00E10AB9"/>
    <w:rsid w:val="00E1579D"/>
    <w:rsid w:val="00E24D24"/>
    <w:rsid w:val="00F143D2"/>
    <w:rsid w:val="05B4776A"/>
    <w:rsid w:val="0CDC15F8"/>
    <w:rsid w:val="11E0611C"/>
    <w:rsid w:val="14AE7749"/>
    <w:rsid w:val="16F77518"/>
    <w:rsid w:val="1A1C2BCD"/>
    <w:rsid w:val="1F11740E"/>
    <w:rsid w:val="2037243C"/>
    <w:rsid w:val="24247E7B"/>
    <w:rsid w:val="264327BB"/>
    <w:rsid w:val="266C38AA"/>
    <w:rsid w:val="2A623C87"/>
    <w:rsid w:val="384077AD"/>
    <w:rsid w:val="3878021F"/>
    <w:rsid w:val="391460DB"/>
    <w:rsid w:val="44FE49B3"/>
    <w:rsid w:val="728227B2"/>
    <w:rsid w:val="75E5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样式2 Char"/>
    <w:basedOn w:val="3"/>
    <w:link w:val="5"/>
    <w:qFormat/>
    <w:locked/>
    <w:uiPriority w:val="99"/>
    <w:rPr>
      <w:rFonts w:ascii="黑体" w:eastAsia="黑体" w:cs="Times New Roman"/>
      <w:sz w:val="28"/>
      <w:szCs w:val="28"/>
      <w:lang w:bidi="ar-SA"/>
    </w:rPr>
  </w:style>
  <w:style w:type="paragraph" w:customStyle="1" w:styleId="5">
    <w:name w:val="样式2"/>
    <w:basedOn w:val="1"/>
    <w:link w:val="4"/>
    <w:qFormat/>
    <w:uiPriority w:val="99"/>
    <w:pPr>
      <w:spacing w:beforeLines="30" w:afterLines="30"/>
      <w:ind w:firstLine="560" w:firstLineChars="200"/>
    </w:pPr>
    <w:rPr>
      <w:rFonts w:ascii="黑体" w:hAnsi="Times New Roman" w:eastAsia="黑体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148</Words>
  <Characters>849</Characters>
  <Lines>0</Lines>
  <Paragraphs>0</Paragraphs>
  <TotalTime>1</TotalTime>
  <ScaleCrop>false</ScaleCrop>
  <LinksUpToDate>false</LinksUpToDate>
  <CharactersWithSpaces>0</CharactersWithSpaces>
  <Application>WPS Office_11.1.0.9587_F1E327BC-269C-435d-A152-05C5408002CA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2019-09-18T08:09:00Z</dcterms:created>
  <dc:creator>杨翠兰</dc:creator>
  <cp:lastModifiedBy>Administrator</cp:lastModifiedBy>
  <dcterms:modified xsi:type="dcterms:W3CDTF">2020-04-14T08:22:56Z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