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0" w:lineRule="exact"/>
        <w:ind w:firstLine="723" w:firstLineChars="200"/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bookmarkStart w:id="0" w:name="_Toc26219_WPSOffice_Level3"/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工商管理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培养方案</w:t>
      </w:r>
    </w:p>
    <w:p>
      <w:pPr>
        <w:widowControl/>
        <w:spacing w:line="430" w:lineRule="exact"/>
        <w:ind w:firstLine="482" w:firstLineChars="200"/>
        <w:jc w:val="center"/>
        <w:rPr>
          <w:rFonts w:hint="default" w:ascii="楷体" w:hAnsi="楷体" w:eastAsia="楷体"/>
          <w:b/>
          <w:kern w:val="0"/>
          <w:sz w:val="24"/>
          <w:szCs w:val="24"/>
          <w:lang w:val="en-US" w:eastAsia="zh-CN"/>
        </w:rPr>
      </w:pP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专业层次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专升本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bookmarkStart w:id="1" w:name="_Toc28471_WPSOffice_Level3"/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入学要求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default" w:ascii="仿宋" w:hAnsi="仿宋" w:eastAsia="仿宋"/>
          <w:sz w:val="24"/>
          <w:szCs w:val="24"/>
          <w:lang w:eastAsia="zh-CN"/>
        </w:rPr>
      </w:pPr>
      <w:r>
        <w:rPr>
          <w:rFonts w:hint="default" w:ascii="仿宋" w:hAnsi="仿宋" w:eastAsia="仿宋"/>
          <w:sz w:val="24"/>
          <w:szCs w:val="24"/>
          <w:lang w:eastAsia="zh-CN"/>
        </w:rPr>
        <w:t>须已具有国民教育系列高等教育（含普通高等教育、高等职业教育、成人高等教育、网络教育、高等教育自学考试）专科及以上毕业证书。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培养目标</w:t>
      </w:r>
      <w:bookmarkEnd w:id="1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本专业以“强通识、宽口径、厚基础”为出发点，以“案例教学”为特色，培养具有社会责任感、公共意识和创新精神，具有人文精神与科学素养，经过科学、专业的训练，了解经济、营销、财务知识，掌握工商管理基础理论、知识、技能，熟悉工商管理前沿理论和实践，具备企业战略规划、人力资源管理、运营管理能力，能够在企事业单位、行政部门从事管理工作及相应咨询、培训工作的具有国际视野、本土情怀、团队精神、良好心态和持续学习意愿的创新型人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本专业毕业生能够具备以下能力：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/>
          <w:sz w:val="24"/>
          <w:szCs w:val="24"/>
          <w:lang w:eastAsia="zh-CN"/>
        </w:rPr>
        <w:t>）具有良好的战略思维和全局观，能熟练运用战略管理方法与工具；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/>
          <w:sz w:val="24"/>
          <w:szCs w:val="24"/>
          <w:lang w:eastAsia="zh-CN"/>
        </w:rPr>
        <w:t>）熟悉人力资源管理各项实务的操作流程，熟悉国家各项劳动人事法规政策，并能实际操作运用；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/>
          <w:sz w:val="24"/>
          <w:szCs w:val="24"/>
          <w:lang w:eastAsia="zh-CN"/>
        </w:rPr>
        <w:t>）熟悉企业运营管理的方法与流程，能够独立完成中小企业运营管理工作；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/>
          <w:sz w:val="24"/>
          <w:szCs w:val="24"/>
          <w:lang w:eastAsia="zh-CN"/>
        </w:rPr>
        <w:t>）具有较高的企业综合管理能力和企业诊断能力，能够在企业中独挡一面；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/>
          <w:sz w:val="24"/>
          <w:szCs w:val="24"/>
          <w:lang w:eastAsia="zh-CN"/>
        </w:rPr>
        <w:t>）具有出色的人际交往能力、组织协调能力、沟通能力以及解决复杂问题的能力。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培养规格</w:t>
      </w:r>
    </w:p>
    <w:p>
      <w:pPr>
        <w:widowControl/>
        <w:spacing w:line="430" w:lineRule="exact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/>
          <w:sz w:val="24"/>
          <w:szCs w:val="24"/>
        </w:rPr>
        <w:t>修业年限</w:t>
      </w:r>
    </w:p>
    <w:p>
      <w:pPr>
        <w:widowControl/>
        <w:spacing w:line="430" w:lineRule="exact"/>
        <w:ind w:firstLine="480" w:firstLineChars="200"/>
        <w:jc w:val="left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修业年限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2.5-5年。</w:t>
      </w:r>
    </w:p>
    <w:p>
      <w:pPr>
        <w:widowControl/>
        <w:numPr>
          <w:ilvl w:val="0"/>
          <w:numId w:val="2"/>
        </w:numPr>
        <w:spacing w:line="430" w:lineRule="exact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学习形式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函授/业余</w:t>
      </w:r>
    </w:p>
    <w:p>
      <w:pPr>
        <w:widowControl/>
        <w:numPr>
          <w:ilvl w:val="0"/>
          <w:numId w:val="2"/>
        </w:numPr>
        <w:spacing w:line="430" w:lineRule="exact"/>
        <w:ind w:left="0" w:leftChars="0" w:firstLine="0" w:firstLineChars="0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总学时学分</w:t>
      </w:r>
    </w:p>
    <w:p>
      <w:pPr>
        <w:widowControl/>
        <w:spacing w:line="430" w:lineRule="exact"/>
        <w:ind w:firstLine="480" w:firstLineChars="200"/>
        <w:jc w:val="left"/>
        <w:rPr>
          <w:rFonts w:hint="default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本专业课程共1280学时，80学分。其中通识教育平台课程432学时，计27学分；专业教育平台课程384学时，计24学分；个性化培养平台课程272学时，计17学分；集中实践平台课程192学时，计12学分。</w:t>
      </w:r>
    </w:p>
    <w:p>
      <w:pPr>
        <w:widowControl/>
        <w:numPr>
          <w:ilvl w:val="0"/>
          <w:numId w:val="2"/>
        </w:numPr>
        <w:spacing w:line="430" w:lineRule="exact"/>
        <w:ind w:left="0" w:leftChars="0" w:firstLine="0" w:firstLineChars="0"/>
        <w:jc w:val="left"/>
        <w:rPr>
          <w:rFonts w:hint="eastAsia"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毕业及学位要求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学生完成培养方案规定的课程和学分要求，考核合格，准予毕业。</w:t>
      </w:r>
      <w:r>
        <w:rPr>
          <w:rFonts w:hint="eastAsia" w:ascii="仿宋" w:hAnsi="仿宋" w:eastAsia="仿宋"/>
          <w:sz w:val="24"/>
          <w:szCs w:val="24"/>
        </w:rPr>
        <w:t>符合学位授予条件的，经申请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>授予管理学学士学位。</w:t>
      </w:r>
    </w:p>
    <w:p>
      <w:pPr>
        <w:widowControl/>
        <w:numPr>
          <w:ilvl w:val="0"/>
          <w:numId w:val="2"/>
        </w:numPr>
        <w:spacing w:line="430" w:lineRule="exact"/>
        <w:ind w:left="0" w:leftChars="0" w:firstLine="0" w:firstLineChars="0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人才培养知识、能力和素质要求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本专业毕业生需具备以下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/>
          <w:sz w:val="24"/>
          <w:szCs w:val="24"/>
          <w:lang w:eastAsia="zh-CN"/>
        </w:rPr>
        <w:t>个方面的知识、能力、素质。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（1）</w:t>
      </w:r>
      <w:r>
        <w:rPr>
          <w:rFonts w:hint="eastAsia" w:ascii="仿宋" w:hAnsi="仿宋" w:eastAsia="仿宋"/>
          <w:sz w:val="24"/>
          <w:szCs w:val="24"/>
          <w:lang w:eastAsia="zh-CN"/>
        </w:rPr>
        <w:t>工商管理知识。掌握工商管理专业的基本知识；了解工商管理学科的理论前沿及发展动态。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（2）</w:t>
      </w:r>
      <w:r>
        <w:rPr>
          <w:rFonts w:hint="eastAsia" w:ascii="仿宋" w:hAnsi="仿宋" w:eastAsia="仿宋"/>
          <w:sz w:val="24"/>
          <w:szCs w:val="24"/>
          <w:lang w:eastAsia="zh-CN"/>
        </w:rPr>
        <w:t>工商管理问题分析能力。能够识别、分析组织管理中存在的问题，并能运用工商管理专业理论和方法，系统分析组织的管理问题。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（3）</w:t>
      </w:r>
      <w:r>
        <w:rPr>
          <w:rFonts w:hint="eastAsia" w:ascii="仿宋" w:hAnsi="仿宋" w:eastAsia="仿宋"/>
          <w:sz w:val="24"/>
          <w:szCs w:val="24"/>
          <w:lang w:eastAsia="zh-CN"/>
        </w:rPr>
        <w:t>工商管理实践能力。能够解决组织在管理实践中的问题，并能将工商管理知识运用到实践中。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（4）</w:t>
      </w:r>
      <w:r>
        <w:rPr>
          <w:rFonts w:hint="eastAsia" w:ascii="仿宋" w:hAnsi="仿宋" w:eastAsia="仿宋"/>
          <w:sz w:val="24"/>
          <w:szCs w:val="24"/>
          <w:lang w:eastAsia="zh-CN"/>
        </w:rPr>
        <w:t>沟通能力。具有较强的组织沟通能力和人际交往能力，能够就复杂管理问题与业界同行及社会公众进行有效沟通和交流。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（5）</w:t>
      </w:r>
      <w:r>
        <w:rPr>
          <w:rFonts w:hint="eastAsia" w:ascii="仿宋" w:hAnsi="仿宋" w:eastAsia="仿宋"/>
          <w:sz w:val="24"/>
          <w:szCs w:val="24"/>
          <w:lang w:eastAsia="zh-CN"/>
        </w:rPr>
        <w:t>创新能力。具有较强的探索性、批判性思维能力，不断尝试理论或实践创新；掌握基本的创新创业技能。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（6）</w:t>
      </w:r>
      <w:r>
        <w:rPr>
          <w:rFonts w:hint="eastAsia" w:ascii="仿宋" w:hAnsi="仿宋" w:eastAsia="仿宋"/>
          <w:sz w:val="24"/>
          <w:szCs w:val="24"/>
          <w:lang w:eastAsia="zh-CN"/>
        </w:rPr>
        <w:t>思想素质。掌握马克思主义、毛泽东思想和邓小平理论，树立辩证唯物主义和历史唯物主义世界观；拥护党的领导和社会主义制度，具有良好的道德修养和社会责任感、符合社会进步要求的价值观念和爱国主义的崇高情感；具有积极向上的人生理想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（7）</w:t>
      </w:r>
      <w:r>
        <w:rPr>
          <w:rFonts w:hint="eastAsia" w:ascii="仿宋" w:hAnsi="仿宋" w:eastAsia="仿宋"/>
          <w:sz w:val="24"/>
          <w:szCs w:val="24"/>
          <w:lang w:eastAsia="zh-CN"/>
        </w:rPr>
        <w:t>通识素养。了解哲学、社会学、心理学、法学、科学技术、语言文学、健康艺术、职业发展等方面的通识性知识，具有数学、英语、计算机和自然科学的基本知识，具有国际化视野。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（8）</w:t>
      </w:r>
      <w:r>
        <w:rPr>
          <w:rFonts w:hint="eastAsia" w:ascii="仿宋" w:hAnsi="仿宋" w:eastAsia="仿宋"/>
          <w:sz w:val="24"/>
          <w:szCs w:val="24"/>
          <w:lang w:eastAsia="zh-CN"/>
        </w:rPr>
        <w:t>终身学习素养。具有自主学习和终身学习的意识，有不断学习和适应社会发展的能力。</w:t>
      </w:r>
    </w:p>
    <w:bookmarkEnd w:id="0"/>
    <w:p>
      <w:pPr>
        <w:widowControl/>
        <w:numPr>
          <w:ilvl w:val="0"/>
          <w:numId w:val="1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bookmarkStart w:id="2" w:name="_Toc3490_WPSOffice_Level3"/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专业核心课程</w:t>
      </w:r>
      <w:bookmarkEnd w:id="2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管理学原理、战略管理、会计学、财务管理学、组织行为学、人力资源管理、市场营销学、运营管理。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bookmarkStart w:id="3" w:name="_Toc22397_WPSOffice_Level3"/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学位课程</w:t>
      </w:r>
      <w:bookmarkEnd w:id="3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0" w:firstLine="480" w:firstLineChars="200"/>
        <w:jc w:val="left"/>
        <w:textAlignment w:val="auto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管理学原理、战略管理、财务管理。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bookmarkStart w:id="4" w:name="_Toc8000_WPSOffice_Level3"/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教学计划进程表</w:t>
      </w:r>
      <w:bookmarkEnd w:id="4"/>
    </w:p>
    <w:tbl>
      <w:tblPr>
        <w:tblStyle w:val="2"/>
        <w:tblW w:w="9179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570"/>
        <w:gridCol w:w="585"/>
        <w:gridCol w:w="2519"/>
        <w:gridCol w:w="840"/>
        <w:gridCol w:w="795"/>
        <w:gridCol w:w="1080"/>
        <w:gridCol w:w="1065"/>
        <w:gridCol w:w="525"/>
        <w:gridCol w:w="58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9179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工商管理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9179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学制：2.5年             层次：专升本             形式：函授/业余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58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1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总学分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学时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58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理论学时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实践学时</w:t>
            </w: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通识教育平台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英语B1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英语B2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计算机应用基础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概率与数理统计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程序设计语言VB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专业教育平台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管理学原理*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组织行为学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战略管理*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财务管理学*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运营管理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个性化培养平台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选修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金融理论与实务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马克思主义哲学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管理沟通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现代商品学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逻辑学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经济法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货币银行学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国际贸易理论与实务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技术经济学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统计学原理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资本运营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投资经济学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商务谈判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管理咨询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企业信息管理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管理经济学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自开课程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61.5</w:t>
            </w:r>
          </w:p>
        </w:tc>
        <w:tc>
          <w:tcPr>
            <w:tcW w:w="40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选17学分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集中实践平台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工商管理案例</w:t>
            </w:r>
            <w:bookmarkStart w:id="5" w:name="_GoBack"/>
            <w:bookmarkEnd w:id="5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实训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毕业实习及论文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17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abs>
                <w:tab w:val="left" w:pos="3530"/>
              </w:tabs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ab/>
              <w:t>备注：带有*号的为学位课程</w:t>
            </w:r>
          </w:p>
        </w:tc>
      </w:tr>
    </w:tbl>
    <w:p>
      <w:pPr>
        <w:widowControl/>
        <w:numPr>
          <w:ilvl w:val="0"/>
          <w:numId w:val="0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</w:p>
    <w:p>
      <w:pPr>
        <w:widowControl/>
        <w:numPr>
          <w:ilvl w:val="0"/>
          <w:numId w:val="0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</w:p>
    <w:p>
      <w:pPr>
        <w:widowControl/>
        <w:numPr>
          <w:ilvl w:val="0"/>
          <w:numId w:val="0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</w:p>
    <w:p>
      <w:pPr>
        <w:widowControl/>
        <w:numPr>
          <w:ilvl w:val="0"/>
          <w:numId w:val="0"/>
        </w:numPr>
        <w:spacing w:line="430" w:lineRule="exact"/>
        <w:jc w:val="left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</w:p>
    <w:p>
      <w:pPr>
        <w:rPr>
          <w:sz w:val="24"/>
          <w:szCs w:val="24"/>
        </w:rPr>
      </w:pPr>
    </w:p>
    <w:p/>
    <w:sectPr>
      <w:pgSz w:w="11906" w:h="16838"/>
      <w:pgMar w:top="1440" w:right="1417" w:bottom="1440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7EA9A"/>
    <w:multiLevelType w:val="singleLevel"/>
    <w:tmpl w:val="4A37EA9A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68972231"/>
    <w:multiLevelType w:val="singleLevel"/>
    <w:tmpl w:val="6897223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F5B46"/>
    <w:rsid w:val="009F1582"/>
    <w:rsid w:val="02AA3AF8"/>
    <w:rsid w:val="056252C9"/>
    <w:rsid w:val="095E096E"/>
    <w:rsid w:val="0AFE548C"/>
    <w:rsid w:val="109A3482"/>
    <w:rsid w:val="11180B96"/>
    <w:rsid w:val="11F428B8"/>
    <w:rsid w:val="18FF1270"/>
    <w:rsid w:val="1AEF6E7D"/>
    <w:rsid w:val="1F114C39"/>
    <w:rsid w:val="25E55CF1"/>
    <w:rsid w:val="286D1BB7"/>
    <w:rsid w:val="28721C00"/>
    <w:rsid w:val="28B87346"/>
    <w:rsid w:val="290D04E4"/>
    <w:rsid w:val="29464B2A"/>
    <w:rsid w:val="2D367632"/>
    <w:rsid w:val="2E2A32EA"/>
    <w:rsid w:val="30A94DE5"/>
    <w:rsid w:val="39F51838"/>
    <w:rsid w:val="3AE00B23"/>
    <w:rsid w:val="3CE55DA1"/>
    <w:rsid w:val="43007C3B"/>
    <w:rsid w:val="43BF5B46"/>
    <w:rsid w:val="444522B9"/>
    <w:rsid w:val="44A31F4E"/>
    <w:rsid w:val="4FCA5AC4"/>
    <w:rsid w:val="515D29B6"/>
    <w:rsid w:val="55FF529D"/>
    <w:rsid w:val="56ED51A4"/>
    <w:rsid w:val="61AF6935"/>
    <w:rsid w:val="62D271C4"/>
    <w:rsid w:val="637A695E"/>
    <w:rsid w:val="645652C6"/>
    <w:rsid w:val="686D2CE3"/>
    <w:rsid w:val="6EE62500"/>
    <w:rsid w:val="72043C08"/>
    <w:rsid w:val="727D269E"/>
    <w:rsid w:val="73244B48"/>
    <w:rsid w:val="74A41B10"/>
    <w:rsid w:val="75D8205D"/>
    <w:rsid w:val="7AFA07C3"/>
    <w:rsid w:val="7BF363D0"/>
    <w:rsid w:val="7C3572BE"/>
    <w:rsid w:val="7D3443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2019-09-18T02:15:00Z</dcterms:created>
  <dc:creator>杨翠兰</dc:creator>
  <cp:lastModifiedBy>Administrator</cp:lastModifiedBy>
  <dcterms:modified xsi:type="dcterms:W3CDTF">2020-04-14T03:16:00Z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