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CE872">
      <w:pPr>
        <w:spacing w:line="360" w:lineRule="auto"/>
        <w:ind w:firstLine="482" w:firstLineChars="200"/>
        <w:outlineLvl w:val="1"/>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一</w:t>
      </w:r>
      <w:bookmarkStart w:id="2" w:name="_GoBack"/>
      <w:bookmarkEnd w:id="2"/>
      <w:r>
        <w:rPr>
          <w:rFonts w:hint="eastAsia" w:ascii="宋体" w:hAnsi="宋体" w:eastAsia="宋体" w:cs="宋体"/>
          <w:b/>
          <w:bCs/>
          <w:color w:val="auto"/>
          <w:sz w:val="24"/>
          <w:highlight w:val="none"/>
        </w:rPr>
        <w:t>、技术参数具体内容</w:t>
      </w:r>
    </w:p>
    <w:tbl>
      <w:tblPr>
        <w:tblStyle w:val="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1576"/>
        <w:gridCol w:w="6328"/>
      </w:tblGrid>
      <w:tr w14:paraId="2800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1" w:type="pct"/>
            <w:noWrap w:val="0"/>
            <w:vAlign w:val="center"/>
          </w:tcPr>
          <w:p w14:paraId="4A6B66DF">
            <w:pPr>
              <w:keepNext w:val="0"/>
              <w:keepLines w:val="0"/>
              <w:pageBreakBefore w:val="0"/>
              <w:widowControl w:val="0"/>
              <w:kinsoku/>
              <w:topLinePunct w:val="0"/>
              <w:bidi w:val="0"/>
              <w:spacing w:line="400" w:lineRule="exact"/>
              <w:jc w:val="center"/>
              <w:textAlignment w:val="center"/>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925" w:type="pct"/>
            <w:noWrap w:val="0"/>
            <w:vAlign w:val="center"/>
          </w:tcPr>
          <w:p w14:paraId="4F54CD34">
            <w:pPr>
              <w:keepNext w:val="0"/>
              <w:keepLines w:val="0"/>
              <w:pageBreakBefore w:val="0"/>
              <w:widowControl w:val="0"/>
              <w:kinsoku/>
              <w:topLinePunct w:val="0"/>
              <w:bidi w:val="0"/>
              <w:spacing w:line="400" w:lineRule="exact"/>
              <w:jc w:val="center"/>
              <w:textAlignment w:val="center"/>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服务要求</w:t>
            </w:r>
          </w:p>
        </w:tc>
        <w:tc>
          <w:tcPr>
            <w:tcW w:w="3713" w:type="pct"/>
            <w:noWrap w:val="0"/>
            <w:vAlign w:val="center"/>
          </w:tcPr>
          <w:p w14:paraId="74149DBA">
            <w:pPr>
              <w:keepNext w:val="0"/>
              <w:keepLines w:val="0"/>
              <w:pageBreakBefore w:val="0"/>
              <w:widowControl w:val="0"/>
              <w:kinsoku/>
              <w:topLinePunct w:val="0"/>
              <w:bidi w:val="0"/>
              <w:spacing w:line="400" w:lineRule="exact"/>
              <w:jc w:val="center"/>
              <w:textAlignment w:val="center"/>
              <w:outlineLvl w:val="9"/>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具体服务内容</w:t>
            </w:r>
          </w:p>
        </w:tc>
      </w:tr>
      <w:tr w14:paraId="7BD8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1" w:type="pct"/>
            <w:noWrap w:val="0"/>
            <w:vAlign w:val="center"/>
          </w:tcPr>
          <w:p w14:paraId="4431F862">
            <w:pPr>
              <w:keepNext w:val="0"/>
              <w:keepLines w:val="0"/>
              <w:pageBreakBefore w:val="0"/>
              <w:widowControl w:val="0"/>
              <w:kinsoku/>
              <w:topLinePunct w:val="0"/>
              <w:bidi w:val="0"/>
              <w:spacing w:line="400" w:lineRule="exact"/>
              <w:jc w:val="center"/>
              <w:textAlignment w:val="center"/>
              <w:outlineLvl w:val="9"/>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w:t>
            </w:r>
          </w:p>
        </w:tc>
        <w:tc>
          <w:tcPr>
            <w:tcW w:w="925" w:type="pct"/>
            <w:noWrap w:val="0"/>
            <w:vAlign w:val="center"/>
          </w:tcPr>
          <w:p w14:paraId="1DDA88BE">
            <w:pPr>
              <w:keepNext w:val="0"/>
              <w:keepLines w:val="0"/>
              <w:pageBreakBefore w:val="0"/>
              <w:widowControl w:val="0"/>
              <w:kinsoku/>
              <w:topLinePunct w:val="0"/>
              <w:bidi w:val="0"/>
              <w:spacing w:line="400" w:lineRule="exact"/>
              <w:jc w:val="center"/>
              <w:textAlignment w:val="center"/>
              <w:outlineLvl w:val="9"/>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平台服务要求</w:t>
            </w:r>
          </w:p>
        </w:tc>
        <w:tc>
          <w:tcPr>
            <w:tcW w:w="3713" w:type="pct"/>
            <w:noWrap w:val="0"/>
            <w:vAlign w:val="center"/>
          </w:tcPr>
          <w:p w14:paraId="0C28745B">
            <w:pPr>
              <w:spacing w:line="560" w:lineRule="exact"/>
              <w:jc w:val="left"/>
              <w:rPr>
                <w:rFonts w:hint="default" w:ascii="Times New Roman" w:hAnsi="Times New Roman" w:cs="Times New Roman"/>
                <w:kern w:val="28"/>
                <w:sz w:val="24"/>
                <w:szCs w:val="24"/>
                <w:highlight w:val="none"/>
              </w:rPr>
            </w:pPr>
            <w:r>
              <w:rPr>
                <w:rFonts w:hint="eastAsia" w:ascii="宋体" w:hAnsi="宋体" w:eastAsia="宋体" w:cs="宋体"/>
                <w:kern w:val="28"/>
                <w:sz w:val="24"/>
                <w:szCs w:val="24"/>
                <w:highlight w:val="none"/>
              </w:rPr>
              <w:t>★1、</w:t>
            </w:r>
            <w:r>
              <w:rPr>
                <w:rFonts w:hint="default" w:ascii="Times New Roman" w:hAnsi="Times New Roman" w:cs="Times New Roman"/>
                <w:kern w:val="28"/>
                <w:sz w:val="24"/>
                <w:szCs w:val="24"/>
                <w:highlight w:val="none"/>
              </w:rPr>
              <w:t>支持为</w:t>
            </w:r>
            <w:r>
              <w:rPr>
                <w:rFonts w:hint="eastAsia" w:ascii="Times New Roman" w:hAnsi="Times New Roman" w:cs="Times New Roman"/>
                <w:kern w:val="28"/>
                <w:sz w:val="24"/>
                <w:szCs w:val="24"/>
                <w:highlight w:val="none"/>
                <w:lang w:val="en-US" w:eastAsia="zh-CN"/>
              </w:rPr>
              <w:t>采购人</w:t>
            </w:r>
            <w:r>
              <w:rPr>
                <w:rFonts w:hint="default" w:ascii="Times New Roman" w:hAnsi="Times New Roman" w:cs="Times New Roman"/>
                <w:kern w:val="28"/>
                <w:sz w:val="24"/>
                <w:szCs w:val="24"/>
                <w:highlight w:val="none"/>
              </w:rPr>
              <w:t>设置独立的登录界面，支持</w:t>
            </w:r>
            <w:r>
              <w:rPr>
                <w:rFonts w:hint="eastAsia" w:ascii="Times New Roman" w:hAnsi="Times New Roman" w:cs="Times New Roman"/>
                <w:kern w:val="28"/>
                <w:sz w:val="24"/>
                <w:szCs w:val="24"/>
                <w:highlight w:val="none"/>
                <w:lang w:val="en-US" w:eastAsia="zh-CN"/>
              </w:rPr>
              <w:t>实现采购人的</w:t>
            </w:r>
            <w:r>
              <w:rPr>
                <w:rFonts w:hint="default" w:ascii="Times New Roman" w:hAnsi="Times New Roman" w:cs="Times New Roman"/>
                <w:kern w:val="28"/>
                <w:sz w:val="24"/>
                <w:szCs w:val="24"/>
                <w:highlight w:val="none"/>
              </w:rPr>
              <w:t>上传送审清单、上传论文、送审模式。</w:t>
            </w:r>
            <w:r>
              <w:rPr>
                <w:rFonts w:hint="eastAsia" w:ascii="Times New Roman" w:hAnsi="Times New Roman" w:cs="Times New Roman"/>
                <w:kern w:val="28"/>
                <w:sz w:val="24"/>
                <w:szCs w:val="24"/>
                <w:highlight w:val="none"/>
                <w:lang w:val="en-US" w:eastAsia="zh-CN"/>
              </w:rPr>
              <w:t>采购人</w:t>
            </w:r>
            <w:r>
              <w:rPr>
                <w:rFonts w:hint="default" w:ascii="Times New Roman" w:hAnsi="Times New Roman" w:cs="Times New Roman"/>
                <w:kern w:val="28"/>
                <w:sz w:val="24"/>
                <w:szCs w:val="24"/>
                <w:highlight w:val="none"/>
              </w:rPr>
              <w:t>可通过平台对送审情况进行实时监督与管理。</w:t>
            </w:r>
          </w:p>
          <w:p w14:paraId="21928D36">
            <w:p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★2、</w:t>
            </w:r>
            <w:r>
              <w:rPr>
                <w:rFonts w:hint="default" w:ascii="Times New Roman" w:hAnsi="Times New Roman" w:cs="Times New Roman"/>
                <w:kern w:val="28"/>
                <w:sz w:val="24"/>
                <w:szCs w:val="24"/>
                <w:highlight w:val="none"/>
              </w:rPr>
              <w:t>支持</w:t>
            </w:r>
            <w:r>
              <w:rPr>
                <w:rFonts w:hint="eastAsia" w:ascii="Times New Roman" w:hAnsi="Times New Roman" w:cs="Times New Roman"/>
                <w:kern w:val="28"/>
                <w:sz w:val="24"/>
                <w:szCs w:val="24"/>
                <w:highlight w:val="none"/>
                <w:lang w:val="en-US" w:eastAsia="zh-CN"/>
              </w:rPr>
              <w:t>根据采购人实际需求</w:t>
            </w:r>
            <w:r>
              <w:rPr>
                <w:rFonts w:hint="default" w:ascii="Times New Roman" w:hAnsi="Times New Roman" w:cs="Times New Roman"/>
                <w:kern w:val="28"/>
                <w:sz w:val="24"/>
                <w:szCs w:val="24"/>
                <w:highlight w:val="none"/>
              </w:rPr>
              <w:t>灵活定制评阅书模板和不同模板的限评字数，支持</w:t>
            </w:r>
            <w:r>
              <w:rPr>
                <w:rFonts w:hint="eastAsia" w:ascii="Times New Roman" w:hAnsi="Times New Roman" w:cs="Times New Roman"/>
                <w:kern w:val="28"/>
                <w:sz w:val="24"/>
                <w:szCs w:val="24"/>
                <w:highlight w:val="none"/>
                <w:lang w:val="en-US" w:eastAsia="zh-CN"/>
              </w:rPr>
              <w:t>采购人</w:t>
            </w:r>
            <w:r>
              <w:rPr>
                <w:rFonts w:hint="default" w:ascii="Times New Roman" w:hAnsi="Times New Roman" w:cs="Times New Roman"/>
                <w:kern w:val="28"/>
                <w:sz w:val="24"/>
                <w:szCs w:val="24"/>
                <w:highlight w:val="none"/>
              </w:rPr>
              <w:t>自行维护送审及加送规则，可根据初审送审份数、加送份数自动生成综合评价结果，并可直接导出评价结果汇总表。</w:t>
            </w:r>
          </w:p>
          <w:p w14:paraId="3B8F8FAC">
            <w:p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★3、</w:t>
            </w:r>
            <w:r>
              <w:rPr>
                <w:rFonts w:hint="default" w:ascii="Times New Roman" w:hAnsi="Times New Roman" w:cs="Times New Roman"/>
                <w:kern w:val="28"/>
                <w:sz w:val="24"/>
                <w:szCs w:val="24"/>
                <w:highlight w:val="none"/>
              </w:rPr>
              <w:t>支持论文关键词实时抓取，论文</w:t>
            </w:r>
            <w:r>
              <w:rPr>
                <w:rFonts w:hint="default" w:ascii="宋体" w:hAnsi="宋体" w:eastAsia="宋体" w:cs="宋体"/>
                <w:kern w:val="28"/>
                <w:sz w:val="24"/>
                <w:szCs w:val="24"/>
                <w:highlight w:val="none"/>
                <w:lang w:val="en-US" w:eastAsia="zh-CN"/>
              </w:rPr>
              <w:t>pdf</w:t>
            </w:r>
            <w:r>
              <w:rPr>
                <w:rFonts w:hint="eastAsia" w:ascii="Times New Roman" w:hAnsi="Times New Roman" w:cs="Times New Roman"/>
                <w:kern w:val="28"/>
                <w:sz w:val="24"/>
                <w:szCs w:val="24"/>
                <w:highlight w:val="none"/>
                <w:lang w:val="en-US" w:eastAsia="zh-CN"/>
              </w:rPr>
              <w:t>格式</w:t>
            </w:r>
            <w:r>
              <w:rPr>
                <w:rFonts w:hint="default" w:ascii="Times New Roman" w:hAnsi="Times New Roman" w:cs="Times New Roman"/>
                <w:kern w:val="28"/>
                <w:sz w:val="24"/>
                <w:szCs w:val="24"/>
                <w:highlight w:val="none"/>
              </w:rPr>
              <w:t>上传时系统</w:t>
            </w:r>
            <w:r>
              <w:rPr>
                <w:rFonts w:hint="eastAsia" w:ascii="Times New Roman" w:hAnsi="Times New Roman" w:cs="Times New Roman"/>
                <w:kern w:val="28"/>
                <w:sz w:val="24"/>
                <w:szCs w:val="24"/>
                <w:highlight w:val="none"/>
                <w:lang w:val="en-US" w:eastAsia="zh-CN"/>
              </w:rPr>
              <w:t>能够</w:t>
            </w:r>
            <w:r>
              <w:rPr>
                <w:rFonts w:hint="default" w:ascii="Times New Roman" w:hAnsi="Times New Roman" w:cs="Times New Roman"/>
                <w:kern w:val="28"/>
                <w:sz w:val="24"/>
                <w:szCs w:val="24"/>
                <w:highlight w:val="none"/>
              </w:rPr>
              <w:t>自动抓取文中摘要部分的关键词，并在论文信息列表页面展示。</w:t>
            </w:r>
          </w:p>
          <w:p w14:paraId="0948EAB5">
            <w:pPr>
              <w:spacing w:line="560" w:lineRule="exact"/>
              <w:jc w:val="left"/>
              <w:rPr>
                <w:rFonts w:hint="default" w:ascii="Times New Roman" w:hAnsi="Times New Roman" w:cs="Times New Roman"/>
                <w:kern w:val="28"/>
                <w:sz w:val="24"/>
                <w:szCs w:val="24"/>
                <w:highlight w:val="none"/>
              </w:rPr>
            </w:pPr>
            <w:bookmarkStart w:id="0" w:name="OLE_LINK3"/>
            <w:bookmarkStart w:id="1" w:name="OLE_LINK4"/>
            <w:r>
              <w:rPr>
                <w:rFonts w:hint="default" w:ascii="宋体" w:hAnsi="宋体" w:eastAsia="宋体" w:cs="宋体"/>
                <w:kern w:val="28"/>
                <w:sz w:val="24"/>
                <w:szCs w:val="24"/>
                <w:highlight w:val="none"/>
              </w:rPr>
              <w:t>★4</w:t>
            </w:r>
            <w:bookmarkEnd w:id="0"/>
            <w:bookmarkEnd w:id="1"/>
            <w:r>
              <w:rPr>
                <w:rFonts w:hint="default" w:ascii="宋体" w:hAnsi="宋体" w:eastAsia="宋体" w:cs="宋体"/>
                <w:kern w:val="28"/>
                <w:sz w:val="24"/>
                <w:szCs w:val="24"/>
                <w:highlight w:val="none"/>
              </w:rPr>
              <w:t>、</w:t>
            </w:r>
            <w:r>
              <w:rPr>
                <w:rFonts w:hint="default" w:ascii="Times New Roman" w:hAnsi="Times New Roman" w:cs="Times New Roman"/>
                <w:kern w:val="28"/>
                <w:sz w:val="24"/>
                <w:szCs w:val="24"/>
                <w:highlight w:val="none"/>
              </w:rPr>
              <w:t>支持批量下载评阅结果，实现</w:t>
            </w:r>
            <w:r>
              <w:rPr>
                <w:rFonts w:hint="eastAsia" w:ascii="Times New Roman" w:hAnsi="Times New Roman" w:cs="Times New Roman"/>
                <w:kern w:val="28"/>
                <w:sz w:val="24"/>
                <w:szCs w:val="24"/>
                <w:highlight w:val="none"/>
                <w:lang w:val="en-US" w:eastAsia="zh-CN"/>
              </w:rPr>
              <w:t>采购人</w:t>
            </w:r>
            <w:r>
              <w:rPr>
                <w:rFonts w:hint="default" w:ascii="Times New Roman" w:hAnsi="Times New Roman" w:cs="Times New Roman"/>
                <w:kern w:val="28"/>
                <w:sz w:val="24"/>
                <w:szCs w:val="24"/>
                <w:highlight w:val="none"/>
              </w:rPr>
              <w:t>分学院、分学生类型打包和合并打印功能，</w:t>
            </w:r>
            <w:r>
              <w:rPr>
                <w:rFonts w:hint="eastAsia" w:ascii="Times New Roman" w:hAnsi="Times New Roman" w:cs="Times New Roman"/>
                <w:kern w:val="28"/>
                <w:sz w:val="24"/>
                <w:szCs w:val="24"/>
                <w:highlight w:val="none"/>
                <w:lang w:val="en-US" w:eastAsia="zh-CN"/>
              </w:rPr>
              <w:t>采购人校内各个学院（</w:t>
            </w:r>
            <w:r>
              <w:rPr>
                <w:rFonts w:hint="default" w:ascii="Times New Roman" w:hAnsi="Times New Roman" w:cs="Times New Roman"/>
                <w:kern w:val="28"/>
                <w:sz w:val="24"/>
                <w:szCs w:val="24"/>
                <w:highlight w:val="none"/>
              </w:rPr>
              <w:t>送审单位</w:t>
            </w:r>
            <w:r>
              <w:rPr>
                <w:rFonts w:hint="eastAsia" w:ascii="Times New Roman" w:hAnsi="Times New Roman" w:cs="Times New Roman"/>
                <w:kern w:val="28"/>
                <w:sz w:val="24"/>
                <w:szCs w:val="24"/>
                <w:highlight w:val="none"/>
                <w:lang w:val="en-US" w:eastAsia="zh-CN"/>
              </w:rPr>
              <w:t>）</w:t>
            </w:r>
            <w:r>
              <w:rPr>
                <w:rFonts w:hint="default" w:ascii="Times New Roman" w:hAnsi="Times New Roman" w:cs="Times New Roman"/>
                <w:kern w:val="28"/>
                <w:sz w:val="24"/>
                <w:szCs w:val="24"/>
                <w:highlight w:val="none"/>
              </w:rPr>
              <w:t>可自行选择带评阅专家签章和不带评审专家签章</w:t>
            </w:r>
            <w:r>
              <w:rPr>
                <w:rFonts w:hint="eastAsia" w:ascii="Times New Roman" w:hAnsi="Times New Roman" w:cs="Times New Roman"/>
                <w:kern w:val="28"/>
                <w:sz w:val="24"/>
                <w:szCs w:val="24"/>
                <w:highlight w:val="none"/>
                <w:lang w:val="en-US" w:eastAsia="zh-CN"/>
              </w:rPr>
              <w:t>两种模式</w:t>
            </w:r>
            <w:r>
              <w:rPr>
                <w:rFonts w:hint="default" w:ascii="Times New Roman" w:hAnsi="Times New Roman" w:cs="Times New Roman"/>
                <w:kern w:val="28"/>
                <w:sz w:val="24"/>
                <w:szCs w:val="24"/>
                <w:highlight w:val="none"/>
              </w:rPr>
              <w:t>下载评阅结果，自定义命名格式，并且可以在线批量打印等。</w:t>
            </w:r>
          </w:p>
          <w:p w14:paraId="6AD360BC">
            <w:pPr>
              <w:numPr>
                <w:ilvl w:val="0"/>
                <w:numId w:val="0"/>
              </w:num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lang w:val="en-US" w:eastAsia="zh-CN"/>
              </w:rPr>
              <w:t>5、</w:t>
            </w:r>
            <w:r>
              <w:rPr>
                <w:rFonts w:hint="default" w:ascii="Times New Roman" w:hAnsi="Times New Roman" w:cs="Times New Roman"/>
                <w:kern w:val="28"/>
                <w:sz w:val="24"/>
                <w:szCs w:val="24"/>
                <w:highlight w:val="none"/>
              </w:rPr>
              <w:t>平台支持自动校验功能，论文上传后平台能自动校验</w:t>
            </w:r>
            <w:r>
              <w:rPr>
                <w:rFonts w:hint="default" w:ascii="宋体" w:hAnsi="宋体" w:eastAsia="宋体" w:cs="宋体"/>
                <w:kern w:val="28"/>
                <w:sz w:val="24"/>
                <w:szCs w:val="24"/>
                <w:highlight w:val="none"/>
                <w:lang w:val="en-US" w:eastAsia="zh-CN"/>
              </w:rPr>
              <w:t>pdf</w:t>
            </w:r>
            <w:r>
              <w:rPr>
                <w:rFonts w:hint="eastAsia" w:ascii="Times New Roman" w:hAnsi="Times New Roman" w:cs="Times New Roman"/>
                <w:kern w:val="28"/>
                <w:sz w:val="24"/>
                <w:szCs w:val="24"/>
                <w:highlight w:val="none"/>
                <w:lang w:val="en-US" w:eastAsia="zh-CN"/>
              </w:rPr>
              <w:t>格式</w:t>
            </w:r>
            <w:r>
              <w:rPr>
                <w:rFonts w:hint="default" w:ascii="Times New Roman" w:hAnsi="Times New Roman" w:cs="Times New Roman"/>
                <w:kern w:val="28"/>
                <w:sz w:val="24"/>
                <w:szCs w:val="24"/>
                <w:highlight w:val="none"/>
              </w:rPr>
              <w:t>论文与</w:t>
            </w:r>
            <w:r>
              <w:rPr>
                <w:rFonts w:hint="default" w:ascii="宋体" w:hAnsi="宋体" w:eastAsia="宋体" w:cs="宋体"/>
                <w:kern w:val="28"/>
                <w:sz w:val="24"/>
                <w:szCs w:val="24"/>
                <w:highlight w:val="none"/>
                <w:lang w:val="en-US" w:eastAsia="zh-CN"/>
              </w:rPr>
              <w:t>Excel</w:t>
            </w:r>
            <w:r>
              <w:rPr>
                <w:rFonts w:hint="default" w:ascii="Times New Roman" w:hAnsi="Times New Roman" w:cs="Times New Roman"/>
                <w:kern w:val="28"/>
                <w:sz w:val="24"/>
                <w:szCs w:val="24"/>
                <w:highlight w:val="none"/>
              </w:rPr>
              <w:t>汇总表中论文题目是否一致，如不一致时平台界面给出醒目提示。</w:t>
            </w:r>
          </w:p>
          <w:p w14:paraId="5ACFD893">
            <w:pPr>
              <w:numPr>
                <w:ilvl w:val="0"/>
                <w:numId w:val="0"/>
              </w:num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lang w:val="en-US" w:eastAsia="zh-CN"/>
              </w:rPr>
              <w:t>6、</w:t>
            </w:r>
            <w:r>
              <w:rPr>
                <w:rFonts w:hint="default" w:ascii="Times New Roman" w:hAnsi="Times New Roman" w:cs="Times New Roman"/>
                <w:kern w:val="28"/>
                <w:sz w:val="24"/>
                <w:szCs w:val="24"/>
                <w:highlight w:val="none"/>
              </w:rPr>
              <w:t>支持敏感词检测，可检测上传论文中是否存在学生姓名、学生学号、导师姓名等敏感信息，且能直接定位敏感词所在页码并自动清除敏感词。</w:t>
            </w:r>
          </w:p>
          <w:p w14:paraId="092AD335">
            <w:pPr>
              <w:numPr>
                <w:ilvl w:val="0"/>
                <w:numId w:val="0"/>
              </w:num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lang w:val="en-US" w:eastAsia="zh-CN"/>
              </w:rPr>
              <w:t>7、</w:t>
            </w:r>
            <w:r>
              <w:rPr>
                <w:rFonts w:hint="default" w:ascii="Times New Roman" w:hAnsi="Times New Roman" w:cs="Times New Roman"/>
                <w:kern w:val="28"/>
                <w:sz w:val="24"/>
                <w:szCs w:val="24"/>
                <w:highlight w:val="none"/>
              </w:rPr>
              <w:t>平台支持分差预警功能，对于同一论文不同专家给出的评分，最高分与最低分的分差超过设置的预警分差时，平台自动预警提醒。</w:t>
            </w:r>
          </w:p>
          <w:p w14:paraId="1D69090A">
            <w:pPr>
              <w:numPr>
                <w:ilvl w:val="0"/>
                <w:numId w:val="0"/>
              </w:num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lang w:val="en-US" w:eastAsia="zh-CN"/>
              </w:rPr>
              <w:t>8、</w:t>
            </w:r>
            <w:r>
              <w:rPr>
                <w:rFonts w:hint="default" w:ascii="Times New Roman" w:hAnsi="Times New Roman" w:cs="Times New Roman"/>
                <w:kern w:val="28"/>
                <w:sz w:val="24"/>
                <w:szCs w:val="24"/>
                <w:highlight w:val="none"/>
              </w:rPr>
              <w:t>支持生成的每份评阅意见书可生成符合学校要求的唯一编号，确保评阅意见与</w:t>
            </w:r>
            <w:r>
              <w:rPr>
                <w:rFonts w:hint="default" w:ascii="宋体" w:hAnsi="宋体" w:eastAsia="宋体" w:cs="宋体"/>
                <w:kern w:val="28"/>
                <w:sz w:val="24"/>
                <w:szCs w:val="24"/>
                <w:highlight w:val="none"/>
                <w:lang w:val="en-US" w:eastAsia="zh-CN"/>
              </w:rPr>
              <w:t>Excel</w:t>
            </w:r>
            <w:r>
              <w:rPr>
                <w:rFonts w:hint="default" w:ascii="Times New Roman" w:hAnsi="Times New Roman" w:cs="Times New Roman"/>
                <w:kern w:val="28"/>
                <w:sz w:val="24"/>
                <w:szCs w:val="24"/>
                <w:highlight w:val="none"/>
              </w:rPr>
              <w:t>汇总表数据一一对应。</w:t>
            </w:r>
          </w:p>
          <w:p w14:paraId="012A32A6">
            <w:pPr>
              <w:numPr>
                <w:ilvl w:val="0"/>
                <w:numId w:val="0"/>
              </w:num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lang w:val="en-US" w:eastAsia="zh-CN"/>
              </w:rPr>
              <w:t>9、</w:t>
            </w:r>
            <w:r>
              <w:rPr>
                <w:rFonts w:hint="default" w:ascii="Times New Roman" w:hAnsi="Times New Roman" w:cs="Times New Roman"/>
                <w:kern w:val="28"/>
                <w:sz w:val="24"/>
                <w:szCs w:val="24"/>
                <w:highlight w:val="none"/>
              </w:rPr>
              <w:t>送审结果支持按</w:t>
            </w:r>
            <w:r>
              <w:rPr>
                <w:rFonts w:hint="eastAsia" w:ascii="Times New Roman" w:hAnsi="Times New Roman" w:cs="Times New Roman"/>
                <w:kern w:val="28"/>
                <w:sz w:val="24"/>
                <w:szCs w:val="24"/>
                <w:highlight w:val="none"/>
                <w:lang w:val="en-US" w:eastAsia="zh-CN"/>
              </w:rPr>
              <w:t>采购人</w:t>
            </w:r>
            <w:r>
              <w:rPr>
                <w:rFonts w:hint="default" w:ascii="Times New Roman" w:hAnsi="Times New Roman" w:cs="Times New Roman"/>
                <w:kern w:val="28"/>
                <w:sz w:val="24"/>
                <w:szCs w:val="24"/>
                <w:highlight w:val="none"/>
              </w:rPr>
              <w:t>对评审结果排序，结果统计表可以按照学生维度进行统计,可生</w:t>
            </w:r>
            <w:r>
              <w:rPr>
                <w:rFonts w:hint="eastAsia" w:ascii="Times New Roman" w:hAnsi="Times New Roman" w:cs="Times New Roman"/>
                <w:kern w:val="28"/>
                <w:sz w:val="24"/>
                <w:szCs w:val="24"/>
                <w:highlight w:val="none"/>
                <w:lang w:val="en-US" w:eastAsia="zh-CN"/>
              </w:rPr>
              <w:t>成</w:t>
            </w:r>
            <w:r>
              <w:rPr>
                <w:rFonts w:hint="default" w:ascii="Times New Roman" w:hAnsi="Times New Roman" w:cs="Times New Roman"/>
                <w:kern w:val="28"/>
                <w:sz w:val="24"/>
                <w:szCs w:val="24"/>
                <w:highlight w:val="none"/>
              </w:rPr>
              <w:t>多维度的统计报表，并且可以支持按学生维度成横向汇总表和纵向汇总表。</w:t>
            </w:r>
          </w:p>
          <w:p w14:paraId="3B4ACFF7">
            <w:p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★10、</w:t>
            </w:r>
            <w:r>
              <w:rPr>
                <w:rFonts w:hint="default" w:ascii="Times New Roman" w:hAnsi="Times New Roman" w:cs="Times New Roman"/>
                <w:kern w:val="28"/>
                <w:sz w:val="24"/>
                <w:szCs w:val="24"/>
                <w:highlight w:val="none"/>
              </w:rPr>
              <w:t>送审数据统计报表可以直接一键触达送审详情。</w:t>
            </w:r>
          </w:p>
          <w:p w14:paraId="2A2837F3">
            <w:p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11、</w:t>
            </w:r>
            <w:r>
              <w:rPr>
                <w:rFonts w:hint="default" w:ascii="Times New Roman" w:hAnsi="Times New Roman" w:cs="Times New Roman"/>
                <w:kern w:val="28"/>
                <w:sz w:val="24"/>
                <w:szCs w:val="24"/>
                <w:highlight w:val="none"/>
              </w:rPr>
              <w:t>平台具有论文格式检测功能，并可直接开放学生使用。</w:t>
            </w:r>
          </w:p>
          <w:p w14:paraId="5C3D7779">
            <w:p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12、</w:t>
            </w:r>
            <w:r>
              <w:rPr>
                <w:rFonts w:hint="default" w:ascii="Times New Roman" w:hAnsi="Times New Roman" w:cs="Times New Roman"/>
                <w:kern w:val="28"/>
                <w:sz w:val="24"/>
                <w:szCs w:val="24"/>
                <w:highlight w:val="none"/>
              </w:rPr>
              <w:t>支持采购人全委托平台送审，对送审情况可以实时监督与管理，评审进度自动更新，历史数据可按照学院和学生类型进行分类存档。</w:t>
            </w:r>
          </w:p>
          <w:p w14:paraId="2E536C47">
            <w:p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13、</w:t>
            </w:r>
            <w:r>
              <w:rPr>
                <w:rFonts w:hint="default" w:ascii="Times New Roman" w:hAnsi="Times New Roman" w:cs="Times New Roman"/>
                <w:kern w:val="28"/>
                <w:sz w:val="24"/>
                <w:szCs w:val="24"/>
                <w:highlight w:val="none"/>
              </w:rPr>
              <w:t>有丰富的后台配置，评审材料防下载控制。</w:t>
            </w:r>
          </w:p>
          <w:p w14:paraId="5AE76F12">
            <w:pPr>
              <w:spacing w:line="56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14、</w:t>
            </w:r>
            <w:r>
              <w:rPr>
                <w:rFonts w:hint="default" w:ascii="Times New Roman" w:hAnsi="Times New Roman" w:cs="Times New Roman"/>
                <w:kern w:val="28"/>
                <w:sz w:val="24"/>
                <w:szCs w:val="24"/>
                <w:highlight w:val="none"/>
              </w:rPr>
              <w:t>自有全国专家库专家不少于</w:t>
            </w:r>
            <w:r>
              <w:rPr>
                <w:rFonts w:hint="eastAsia" w:ascii="宋体" w:hAnsi="宋体" w:eastAsia="宋体" w:cs="宋体"/>
                <w:kern w:val="28"/>
                <w:sz w:val="24"/>
                <w:szCs w:val="24"/>
                <w:highlight w:val="none"/>
                <w:lang w:val="en-US" w:eastAsia="zh-CN"/>
              </w:rPr>
              <w:t>5</w:t>
            </w:r>
            <w:r>
              <w:rPr>
                <w:rFonts w:hint="default" w:ascii="宋体" w:hAnsi="宋体" w:eastAsia="宋体" w:cs="宋体"/>
                <w:kern w:val="28"/>
                <w:sz w:val="24"/>
                <w:szCs w:val="24"/>
                <w:highlight w:val="none"/>
                <w:lang w:val="en-US" w:eastAsia="zh-CN"/>
              </w:rPr>
              <w:t>0000</w:t>
            </w:r>
            <w:r>
              <w:rPr>
                <w:rFonts w:hint="default" w:ascii="Times New Roman" w:hAnsi="Times New Roman" w:cs="Times New Roman"/>
                <w:kern w:val="28"/>
                <w:sz w:val="24"/>
                <w:szCs w:val="24"/>
                <w:highlight w:val="none"/>
              </w:rPr>
              <w:t>名。专家库需包含</w:t>
            </w:r>
            <w:r>
              <w:rPr>
                <w:rFonts w:hint="eastAsia" w:ascii="Times New Roman" w:hAnsi="Times New Roman" w:cs="Times New Roman"/>
                <w:kern w:val="28"/>
                <w:sz w:val="24"/>
                <w:szCs w:val="24"/>
                <w:highlight w:val="none"/>
                <w:lang w:val="en-US" w:eastAsia="zh-CN"/>
              </w:rPr>
              <w:t>采购人现有所有</w:t>
            </w:r>
            <w:r>
              <w:rPr>
                <w:rFonts w:hint="default" w:ascii="Times New Roman" w:hAnsi="Times New Roman" w:cs="Times New Roman"/>
                <w:kern w:val="28"/>
                <w:sz w:val="24"/>
                <w:szCs w:val="24"/>
                <w:highlight w:val="none"/>
              </w:rPr>
              <w:t>学科/专业类别</w:t>
            </w:r>
            <w:r>
              <w:rPr>
                <w:rFonts w:hint="eastAsia" w:ascii="Times New Roman" w:hAnsi="Times New Roman" w:cs="Times New Roman"/>
                <w:kern w:val="28"/>
                <w:sz w:val="24"/>
                <w:szCs w:val="24"/>
                <w:highlight w:val="none"/>
                <w:lang w:val="en-US" w:eastAsia="zh-CN"/>
              </w:rPr>
              <w:t>的</w:t>
            </w:r>
            <w:r>
              <w:rPr>
                <w:rFonts w:hint="default" w:ascii="Times New Roman" w:hAnsi="Times New Roman" w:cs="Times New Roman"/>
                <w:kern w:val="28"/>
                <w:sz w:val="24"/>
                <w:szCs w:val="24"/>
                <w:highlight w:val="none"/>
              </w:rPr>
              <w:t>专家，并且</w:t>
            </w:r>
            <w:r>
              <w:rPr>
                <w:rFonts w:hint="eastAsia" w:ascii="Times New Roman" w:hAnsi="Times New Roman" w:cs="Times New Roman"/>
                <w:kern w:val="28"/>
                <w:sz w:val="24"/>
                <w:szCs w:val="24"/>
                <w:highlight w:val="none"/>
                <w:lang w:val="en-US" w:eastAsia="zh-CN"/>
              </w:rPr>
              <w:t>能够根据采购人实际使用需求为采购人制定一套当年度</w:t>
            </w:r>
            <w:r>
              <w:rPr>
                <w:rFonts w:hint="default" w:ascii="Times New Roman" w:hAnsi="Times New Roman" w:cs="Times New Roman"/>
                <w:kern w:val="28"/>
                <w:sz w:val="24"/>
                <w:szCs w:val="24"/>
                <w:highlight w:val="none"/>
              </w:rPr>
              <w:t>送审</w:t>
            </w:r>
            <w:r>
              <w:rPr>
                <w:rFonts w:hint="eastAsia" w:ascii="Times New Roman" w:hAnsi="Times New Roman" w:cs="Times New Roman"/>
                <w:kern w:val="28"/>
                <w:sz w:val="24"/>
                <w:szCs w:val="24"/>
                <w:highlight w:val="none"/>
                <w:lang w:val="en-US" w:eastAsia="zh-CN"/>
              </w:rPr>
              <w:t>服务</w:t>
            </w:r>
            <w:r>
              <w:rPr>
                <w:rFonts w:hint="default" w:ascii="Times New Roman" w:hAnsi="Times New Roman" w:cs="Times New Roman"/>
                <w:kern w:val="28"/>
                <w:sz w:val="24"/>
                <w:szCs w:val="24"/>
                <w:highlight w:val="none"/>
              </w:rPr>
              <w:t>方案。</w:t>
            </w:r>
          </w:p>
          <w:p w14:paraId="19B0AA69">
            <w:pPr>
              <w:spacing w:line="500" w:lineRule="exact"/>
              <w:jc w:val="left"/>
              <w:rPr>
                <w:rFonts w:hint="default" w:ascii="Times New Roman" w:hAnsi="Times New Roman" w:cs="Times New Roman"/>
                <w:kern w:val="28"/>
                <w:sz w:val="24"/>
                <w:szCs w:val="24"/>
                <w:highlight w:val="none"/>
                <w:lang w:val="en-US" w:eastAsia="zh-CN"/>
              </w:rPr>
            </w:pPr>
          </w:p>
        </w:tc>
      </w:tr>
      <w:tr w14:paraId="2ED6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1" w:type="pct"/>
            <w:noWrap w:val="0"/>
            <w:vAlign w:val="center"/>
          </w:tcPr>
          <w:p w14:paraId="2AECCA61">
            <w:pPr>
              <w:keepNext w:val="0"/>
              <w:keepLines w:val="0"/>
              <w:pageBreakBefore w:val="0"/>
              <w:widowControl w:val="0"/>
              <w:kinsoku/>
              <w:topLinePunct w:val="0"/>
              <w:bidi w:val="0"/>
              <w:spacing w:line="400" w:lineRule="exact"/>
              <w:jc w:val="center"/>
              <w:textAlignment w:val="center"/>
              <w:outlineLvl w:val="9"/>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p>
        </w:tc>
        <w:tc>
          <w:tcPr>
            <w:tcW w:w="925" w:type="pct"/>
            <w:noWrap w:val="0"/>
            <w:vAlign w:val="center"/>
          </w:tcPr>
          <w:p w14:paraId="63FE4253">
            <w:pPr>
              <w:keepNext w:val="0"/>
              <w:keepLines w:val="0"/>
              <w:pageBreakBefore w:val="0"/>
              <w:widowControl w:val="0"/>
              <w:kinsoku/>
              <w:topLinePunct w:val="0"/>
              <w:bidi w:val="0"/>
              <w:spacing w:line="400" w:lineRule="exact"/>
              <w:jc w:val="center"/>
              <w:textAlignment w:val="center"/>
              <w:outlineLvl w:val="9"/>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送审</w:t>
            </w:r>
            <w:r>
              <w:rPr>
                <w:rFonts w:hint="eastAsia" w:ascii="宋体" w:hAnsi="宋体" w:eastAsia="宋体" w:cs="宋体"/>
                <w:b/>
                <w:bCs/>
                <w:color w:val="auto"/>
                <w:sz w:val="24"/>
                <w:szCs w:val="24"/>
                <w:highlight w:val="none"/>
                <w:lang w:val="en-US" w:eastAsia="zh-CN"/>
              </w:rPr>
              <w:t>服务要求</w:t>
            </w:r>
          </w:p>
        </w:tc>
        <w:tc>
          <w:tcPr>
            <w:tcW w:w="3713" w:type="pct"/>
            <w:noWrap w:val="0"/>
            <w:vAlign w:val="center"/>
          </w:tcPr>
          <w:p w14:paraId="231FAED5">
            <w:pPr>
              <w:spacing w:line="500" w:lineRule="exact"/>
              <w:jc w:val="left"/>
              <w:rPr>
                <w:rFonts w:hint="default" w:ascii="宋体" w:hAnsi="宋体" w:eastAsia="宋体" w:cs="宋体"/>
                <w:kern w:val="28"/>
                <w:sz w:val="24"/>
                <w:szCs w:val="24"/>
                <w:highlight w:val="none"/>
                <w:lang w:val="en-US" w:eastAsia="zh-CN"/>
              </w:rPr>
            </w:pPr>
            <w:r>
              <w:rPr>
                <w:rFonts w:hint="default" w:ascii="宋体" w:hAnsi="宋体" w:eastAsia="宋体" w:cs="宋体"/>
                <w:kern w:val="28"/>
                <w:sz w:val="24"/>
                <w:szCs w:val="24"/>
                <w:highlight w:val="none"/>
              </w:rPr>
              <w:t>1、</w:t>
            </w:r>
            <w:r>
              <w:rPr>
                <w:rFonts w:hint="eastAsia" w:ascii="Times New Roman" w:hAnsi="Times New Roman" w:cs="Times New Roman"/>
                <w:kern w:val="28"/>
                <w:sz w:val="24"/>
                <w:szCs w:val="24"/>
                <w:highlight w:val="none"/>
                <w:lang w:val="en-US" w:eastAsia="zh-CN"/>
              </w:rPr>
              <w:t>与</w:t>
            </w:r>
            <w:r>
              <w:rPr>
                <w:rFonts w:hint="default" w:ascii="Times New Roman" w:hAnsi="Times New Roman" w:cs="Times New Roman"/>
                <w:kern w:val="28"/>
                <w:sz w:val="24"/>
                <w:szCs w:val="24"/>
                <w:highlight w:val="none"/>
                <w:lang w:val="en-US" w:eastAsia="zh-CN"/>
              </w:rPr>
              <w:t>平台</w:t>
            </w:r>
            <w:r>
              <w:rPr>
                <w:rFonts w:hint="eastAsia" w:ascii="Times New Roman" w:hAnsi="Times New Roman" w:cs="Times New Roman"/>
                <w:kern w:val="28"/>
                <w:sz w:val="24"/>
                <w:szCs w:val="24"/>
                <w:highlight w:val="none"/>
                <w:lang w:val="en-US" w:eastAsia="zh-CN"/>
              </w:rPr>
              <w:t>开展论文送审类服务</w:t>
            </w:r>
            <w:r>
              <w:rPr>
                <w:rFonts w:hint="default" w:ascii="Times New Roman" w:hAnsi="Times New Roman" w:cs="Times New Roman"/>
                <w:kern w:val="28"/>
                <w:sz w:val="24"/>
                <w:szCs w:val="24"/>
                <w:highlight w:val="none"/>
              </w:rPr>
              <w:t>合作单位数量</w:t>
            </w:r>
            <w:r>
              <w:rPr>
                <w:rFonts w:hint="eastAsia" w:ascii="Times New Roman" w:hAnsi="Times New Roman" w:cs="Times New Roman"/>
                <w:kern w:val="28"/>
                <w:sz w:val="24"/>
                <w:szCs w:val="24"/>
                <w:highlight w:val="none"/>
                <w:lang w:eastAsia="zh-CN"/>
              </w:rPr>
              <w:t>（</w:t>
            </w:r>
            <w:r>
              <w:rPr>
                <w:rFonts w:hint="eastAsia" w:ascii="Times New Roman" w:hAnsi="Times New Roman" w:cs="Times New Roman"/>
                <w:kern w:val="28"/>
                <w:sz w:val="24"/>
                <w:szCs w:val="24"/>
                <w:highlight w:val="none"/>
                <w:lang w:val="en-US" w:eastAsia="zh-CN"/>
              </w:rPr>
              <w:t>包括但不限于高校、科研院所</w:t>
            </w:r>
            <w:r>
              <w:rPr>
                <w:rFonts w:hint="eastAsia" w:ascii="Times New Roman" w:hAnsi="Times New Roman" w:cs="Times New Roman"/>
                <w:kern w:val="28"/>
                <w:sz w:val="24"/>
                <w:szCs w:val="24"/>
                <w:highlight w:val="none"/>
                <w:lang w:eastAsia="zh-CN"/>
              </w:rPr>
              <w:t>）</w:t>
            </w:r>
            <w:r>
              <w:rPr>
                <w:rFonts w:hint="default" w:ascii="Times New Roman" w:hAnsi="Times New Roman" w:cs="Times New Roman"/>
                <w:kern w:val="28"/>
                <w:sz w:val="24"/>
                <w:szCs w:val="24"/>
                <w:highlight w:val="none"/>
              </w:rPr>
              <w:t>在</w:t>
            </w:r>
            <w:r>
              <w:rPr>
                <w:rFonts w:hint="default" w:ascii="宋体" w:hAnsi="宋体" w:eastAsia="宋体" w:cs="宋体"/>
                <w:kern w:val="28"/>
                <w:sz w:val="24"/>
                <w:szCs w:val="24"/>
                <w:highlight w:val="none"/>
                <w:lang w:val="en-US" w:eastAsia="zh-CN"/>
              </w:rPr>
              <w:t>10</w:t>
            </w:r>
            <w:r>
              <w:rPr>
                <w:rFonts w:hint="default" w:ascii="Times New Roman" w:hAnsi="Times New Roman" w:cs="Times New Roman"/>
                <w:kern w:val="28"/>
                <w:sz w:val="24"/>
                <w:szCs w:val="24"/>
                <w:highlight w:val="none"/>
              </w:rPr>
              <w:t>家以上</w:t>
            </w:r>
            <w:r>
              <w:rPr>
                <w:rFonts w:hint="eastAsia" w:ascii="Times New Roman" w:hAnsi="Times New Roman" w:cs="Times New Roman"/>
                <w:kern w:val="28"/>
                <w:sz w:val="24"/>
                <w:szCs w:val="24"/>
                <w:highlight w:val="none"/>
                <w:lang w:eastAsia="zh-CN"/>
              </w:rPr>
              <w:t>（</w:t>
            </w:r>
            <w:r>
              <w:rPr>
                <w:rFonts w:hint="eastAsia" w:ascii="Times New Roman" w:hAnsi="Times New Roman" w:cs="Times New Roman"/>
                <w:kern w:val="28"/>
                <w:sz w:val="24"/>
                <w:szCs w:val="24"/>
                <w:highlight w:val="none"/>
                <w:lang w:val="en-US" w:eastAsia="zh-CN"/>
              </w:rPr>
              <w:t>含</w:t>
            </w:r>
            <w:r>
              <w:rPr>
                <w:rFonts w:hint="eastAsia" w:ascii="Times New Roman" w:hAnsi="Times New Roman" w:cs="Times New Roman"/>
                <w:kern w:val="28"/>
                <w:sz w:val="24"/>
                <w:szCs w:val="24"/>
                <w:highlight w:val="none"/>
                <w:lang w:eastAsia="zh-CN"/>
              </w:rPr>
              <w:t>）</w:t>
            </w:r>
            <w:r>
              <w:rPr>
                <w:rFonts w:hint="default" w:ascii="宋体" w:hAnsi="宋体" w:eastAsia="宋体" w:cs="宋体"/>
                <w:kern w:val="28"/>
                <w:sz w:val="24"/>
                <w:szCs w:val="24"/>
                <w:highlight w:val="none"/>
                <w:lang w:val="en-US" w:eastAsia="zh-CN"/>
              </w:rPr>
              <w:t>。</w:t>
            </w:r>
          </w:p>
          <w:p w14:paraId="17D59339">
            <w:pPr>
              <w:spacing w:line="500" w:lineRule="exact"/>
              <w:jc w:val="left"/>
              <w:rPr>
                <w:rFonts w:hint="default" w:ascii="Times New Roman" w:hAnsi="Times New Roman" w:cs="Times New Roman"/>
                <w:b/>
                <w:bCs/>
                <w:kern w:val="28"/>
                <w:sz w:val="24"/>
                <w:szCs w:val="24"/>
                <w:highlight w:val="none"/>
              </w:rPr>
            </w:pPr>
            <w:r>
              <w:rPr>
                <w:rFonts w:hint="default" w:ascii="Times New Roman" w:hAnsi="Times New Roman" w:cs="Times New Roman"/>
                <w:b/>
                <w:bCs/>
                <w:kern w:val="28"/>
                <w:sz w:val="24"/>
                <w:szCs w:val="24"/>
                <w:highlight w:val="none"/>
              </w:rPr>
              <w:t>（供应商响应时须提供</w:t>
            </w:r>
            <w:r>
              <w:rPr>
                <w:rFonts w:hint="eastAsia" w:ascii="Times New Roman" w:hAnsi="Times New Roman" w:cs="Times New Roman"/>
                <w:b/>
                <w:bCs/>
                <w:kern w:val="28"/>
                <w:sz w:val="24"/>
                <w:szCs w:val="24"/>
                <w:highlight w:val="none"/>
                <w:lang w:val="en-US" w:eastAsia="zh-CN"/>
              </w:rPr>
              <w:t>证明材料</w:t>
            </w:r>
            <w:r>
              <w:rPr>
                <w:rFonts w:hint="default" w:ascii="Times New Roman" w:hAnsi="Times New Roman" w:cs="Times New Roman"/>
                <w:b/>
                <w:bCs/>
                <w:kern w:val="28"/>
                <w:sz w:val="24"/>
                <w:szCs w:val="24"/>
                <w:highlight w:val="none"/>
              </w:rPr>
              <w:t>，格式自拟）。</w:t>
            </w:r>
          </w:p>
          <w:p w14:paraId="02BDDE96">
            <w:pPr>
              <w:spacing w:line="50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★2、</w:t>
            </w:r>
            <w:r>
              <w:rPr>
                <w:rFonts w:hint="default" w:ascii="Times New Roman" w:hAnsi="Times New Roman" w:cs="Times New Roman"/>
                <w:kern w:val="28"/>
                <w:sz w:val="24"/>
                <w:szCs w:val="24"/>
                <w:highlight w:val="none"/>
              </w:rPr>
              <w:t>严格按照据采购人送审要求，委托第三方高校</w:t>
            </w:r>
            <w:r>
              <w:rPr>
                <w:rFonts w:hint="eastAsia" w:ascii="Times New Roman" w:hAnsi="Times New Roman" w:cs="Times New Roman"/>
                <w:kern w:val="28"/>
                <w:sz w:val="24"/>
                <w:szCs w:val="24"/>
                <w:highlight w:val="none"/>
                <w:lang w:val="en-US" w:eastAsia="zh-CN"/>
              </w:rPr>
              <w:t>教学管理</w:t>
            </w:r>
            <w:r>
              <w:rPr>
                <w:rFonts w:hint="default" w:ascii="Times New Roman" w:hAnsi="Times New Roman" w:cs="Times New Roman"/>
                <w:kern w:val="28"/>
                <w:sz w:val="24"/>
                <w:szCs w:val="24"/>
                <w:highlight w:val="none"/>
              </w:rPr>
              <w:t>部门聘请相关学科同行专家对论文和其他材料进行评审，评审过程通过供应商运行和维护的平台进行，供应商提供评审专家信息表和第三方管理部门联系人信息表。采购人可在平台中查看评审进度和下载评阅结果。</w:t>
            </w:r>
          </w:p>
          <w:p w14:paraId="474B6653">
            <w:pPr>
              <w:spacing w:line="500" w:lineRule="exact"/>
              <w:jc w:val="left"/>
              <w:rPr>
                <w:rFonts w:hint="default" w:ascii="宋体" w:hAnsi="宋体" w:eastAsia="宋体" w:cs="宋体"/>
                <w:kern w:val="28"/>
                <w:sz w:val="24"/>
                <w:szCs w:val="24"/>
                <w:highlight w:val="none"/>
                <w:lang w:val="en-US" w:eastAsia="zh-CN"/>
              </w:rPr>
            </w:pPr>
            <w:r>
              <w:rPr>
                <w:rFonts w:hint="default" w:ascii="宋体" w:hAnsi="宋体" w:eastAsia="宋体" w:cs="宋体"/>
                <w:kern w:val="28"/>
                <w:sz w:val="24"/>
                <w:szCs w:val="24"/>
                <w:highlight w:val="none"/>
              </w:rPr>
              <w:t>3、</w:t>
            </w:r>
            <w:r>
              <w:rPr>
                <w:rFonts w:hint="default" w:ascii="Times New Roman" w:hAnsi="Times New Roman" w:cs="Times New Roman"/>
                <w:kern w:val="28"/>
                <w:sz w:val="24"/>
                <w:szCs w:val="24"/>
                <w:highlight w:val="none"/>
              </w:rPr>
              <w:t>服务期</w:t>
            </w:r>
            <w:r>
              <w:rPr>
                <w:rFonts w:hint="default" w:ascii="宋体" w:hAnsi="宋体" w:eastAsia="宋体" w:cs="宋体"/>
                <w:kern w:val="28"/>
                <w:sz w:val="24"/>
                <w:szCs w:val="24"/>
                <w:highlight w:val="none"/>
                <w:lang w:val="en-US" w:eastAsia="zh-CN"/>
              </w:rPr>
              <w:t>内需提供7</w:t>
            </w:r>
            <w:r>
              <w:rPr>
                <w:rFonts w:hint="eastAsia" w:ascii="宋体" w:hAnsi="宋体" w:eastAsia="宋体" w:cs="宋体"/>
                <w:kern w:val="28"/>
                <w:sz w:val="24"/>
                <w:szCs w:val="24"/>
                <w:highlight w:val="none"/>
                <w:lang w:val="en-US" w:eastAsia="zh-CN"/>
              </w:rPr>
              <w:t>×</w:t>
            </w:r>
            <w:r>
              <w:rPr>
                <w:rFonts w:hint="default" w:ascii="宋体" w:hAnsi="宋体" w:eastAsia="宋体" w:cs="宋体"/>
                <w:kern w:val="28"/>
                <w:sz w:val="24"/>
                <w:szCs w:val="24"/>
                <w:highlight w:val="none"/>
                <w:lang w:val="en-US" w:eastAsia="zh-CN"/>
              </w:rPr>
              <w:t>24小时的在线技术支持与服务，如在使用过程中因软件自身原因导致</w:t>
            </w:r>
            <w:r>
              <w:rPr>
                <w:rFonts w:hint="eastAsia" w:ascii="宋体" w:hAnsi="宋体" w:eastAsia="宋体" w:cs="宋体"/>
                <w:kern w:val="28"/>
                <w:sz w:val="24"/>
                <w:szCs w:val="24"/>
                <w:highlight w:val="none"/>
                <w:lang w:val="en-US" w:eastAsia="zh-CN"/>
              </w:rPr>
              <w:t>采购人</w:t>
            </w:r>
            <w:r>
              <w:rPr>
                <w:rFonts w:hint="default" w:ascii="宋体" w:hAnsi="宋体" w:eastAsia="宋体" w:cs="宋体"/>
                <w:kern w:val="28"/>
                <w:sz w:val="24"/>
                <w:szCs w:val="24"/>
                <w:highlight w:val="none"/>
                <w:lang w:val="en-US" w:eastAsia="zh-CN"/>
              </w:rPr>
              <w:t>无法正常使用，供应商应在12小时之内给予响应，24小时之内给出解决方案。如采购人因特殊情况需要紧急处理送审相关事宜，供应商应积极配合。</w:t>
            </w:r>
          </w:p>
          <w:p w14:paraId="35D358AE">
            <w:pPr>
              <w:spacing w:line="500" w:lineRule="exact"/>
              <w:jc w:val="left"/>
              <w:rPr>
                <w:rFonts w:hint="eastAsia" w:ascii="Times New Roman" w:hAnsi="Times New Roman" w:cs="Times New Roman"/>
                <w:kern w:val="28"/>
                <w:sz w:val="24"/>
                <w:szCs w:val="24"/>
                <w:highlight w:val="none"/>
                <w:lang w:eastAsia="zh-CN"/>
              </w:rPr>
            </w:pPr>
            <w:r>
              <w:rPr>
                <w:rFonts w:hint="default" w:ascii="宋体" w:hAnsi="宋体" w:eastAsia="宋体" w:cs="宋体"/>
                <w:kern w:val="28"/>
                <w:sz w:val="24"/>
                <w:szCs w:val="24"/>
                <w:highlight w:val="none"/>
              </w:rPr>
              <w:t>★4</w:t>
            </w:r>
            <w:r>
              <w:rPr>
                <w:rFonts w:hint="eastAsia" w:ascii="宋体" w:hAnsi="宋体" w:eastAsia="宋体" w:cs="宋体"/>
                <w:kern w:val="28"/>
                <w:sz w:val="24"/>
                <w:szCs w:val="24"/>
                <w:highlight w:val="none"/>
                <w:lang w:eastAsia="zh-CN"/>
              </w:rPr>
              <w:t>、</w:t>
            </w:r>
            <w:r>
              <w:rPr>
                <w:rFonts w:hint="eastAsia" w:ascii="Times New Roman" w:hAnsi="Times New Roman" w:cs="Times New Roman"/>
                <w:kern w:val="28"/>
                <w:sz w:val="24"/>
                <w:szCs w:val="24"/>
                <w:highlight w:val="none"/>
                <w:lang w:val="en-US" w:eastAsia="zh-CN"/>
              </w:rPr>
              <w:t>采购人</w:t>
            </w:r>
            <w:r>
              <w:rPr>
                <w:rFonts w:hint="default" w:ascii="Times New Roman" w:hAnsi="Times New Roman" w:cs="Times New Roman"/>
                <w:kern w:val="28"/>
                <w:sz w:val="24"/>
                <w:szCs w:val="24"/>
                <w:highlight w:val="none"/>
              </w:rPr>
              <w:t>抽检的论文送审院</w:t>
            </w:r>
            <w:r>
              <w:rPr>
                <w:rFonts w:hint="default" w:ascii="宋体" w:hAnsi="宋体" w:eastAsia="宋体" w:cs="宋体"/>
                <w:kern w:val="28"/>
                <w:sz w:val="24"/>
                <w:szCs w:val="24"/>
                <w:highlight w:val="none"/>
                <w:lang w:val="en-US" w:eastAsia="zh-CN"/>
              </w:rPr>
              <w:t>校</w:t>
            </w:r>
            <w:r>
              <w:rPr>
                <w:rFonts w:hint="eastAsia" w:ascii="宋体" w:hAnsi="宋体" w:eastAsia="宋体" w:cs="宋体"/>
                <w:kern w:val="28"/>
                <w:sz w:val="24"/>
                <w:szCs w:val="24"/>
                <w:highlight w:val="none"/>
                <w:lang w:val="en-US" w:eastAsia="zh-CN"/>
              </w:rPr>
              <w:t>须</w:t>
            </w:r>
            <w:r>
              <w:rPr>
                <w:rFonts w:hint="default" w:ascii="宋体" w:hAnsi="宋体" w:eastAsia="宋体" w:cs="宋体"/>
                <w:kern w:val="28"/>
                <w:sz w:val="24"/>
                <w:szCs w:val="24"/>
                <w:highlight w:val="none"/>
                <w:lang w:val="en-US" w:eastAsia="zh-CN"/>
              </w:rPr>
              <w:t>为原211</w:t>
            </w:r>
            <w:r>
              <w:rPr>
                <w:rFonts w:hint="eastAsia" w:ascii="宋体" w:hAnsi="宋体" w:eastAsia="宋体" w:cs="宋体"/>
                <w:kern w:val="28"/>
                <w:sz w:val="24"/>
                <w:szCs w:val="24"/>
                <w:highlight w:val="none"/>
                <w:lang w:val="en-US" w:eastAsia="zh-CN"/>
              </w:rPr>
              <w:t>工程或</w:t>
            </w:r>
            <w:r>
              <w:rPr>
                <w:rFonts w:hint="default" w:ascii="宋体" w:hAnsi="宋体" w:eastAsia="宋体" w:cs="宋体"/>
                <w:kern w:val="28"/>
                <w:sz w:val="24"/>
                <w:szCs w:val="24"/>
                <w:highlight w:val="none"/>
                <w:lang w:val="en-US" w:eastAsia="zh-CN"/>
              </w:rPr>
              <w:t>985</w:t>
            </w:r>
            <w:r>
              <w:rPr>
                <w:rFonts w:hint="eastAsia" w:ascii="宋体" w:hAnsi="宋体" w:eastAsia="宋体" w:cs="宋体"/>
                <w:kern w:val="28"/>
                <w:sz w:val="24"/>
                <w:szCs w:val="24"/>
                <w:highlight w:val="none"/>
                <w:lang w:val="en-US" w:eastAsia="zh-CN"/>
              </w:rPr>
              <w:t>工程</w:t>
            </w:r>
            <w:r>
              <w:rPr>
                <w:rFonts w:hint="default" w:ascii="Times New Roman" w:hAnsi="Times New Roman" w:cs="Times New Roman"/>
                <w:kern w:val="28"/>
                <w:sz w:val="24"/>
                <w:szCs w:val="24"/>
                <w:highlight w:val="none"/>
              </w:rPr>
              <w:t>合作单位</w:t>
            </w:r>
            <w:r>
              <w:rPr>
                <w:rFonts w:hint="eastAsia" w:ascii="Times New Roman" w:hAnsi="Times New Roman" w:cs="Times New Roman"/>
                <w:kern w:val="28"/>
                <w:sz w:val="24"/>
                <w:szCs w:val="24"/>
                <w:highlight w:val="none"/>
                <w:lang w:eastAsia="zh-CN"/>
              </w:rPr>
              <w:t>；</w:t>
            </w:r>
            <w:r>
              <w:rPr>
                <w:rFonts w:hint="default" w:ascii="Times New Roman" w:hAnsi="Times New Roman" w:cs="Times New Roman"/>
                <w:kern w:val="28"/>
                <w:sz w:val="24"/>
                <w:szCs w:val="24"/>
                <w:highlight w:val="none"/>
              </w:rPr>
              <w:t>评审专家要求副高及以上职称</w:t>
            </w:r>
            <w:r>
              <w:rPr>
                <w:rFonts w:hint="eastAsia" w:ascii="Times New Roman" w:hAnsi="Times New Roman" w:cs="Times New Roman"/>
                <w:kern w:val="28"/>
                <w:sz w:val="24"/>
                <w:szCs w:val="24"/>
                <w:highlight w:val="none"/>
                <w:lang w:val="en-US" w:eastAsia="zh-CN"/>
              </w:rPr>
              <w:t>教师</w:t>
            </w:r>
            <w:r>
              <w:rPr>
                <w:rFonts w:hint="eastAsia" w:ascii="Times New Roman" w:hAnsi="Times New Roman" w:cs="Times New Roman"/>
                <w:kern w:val="28"/>
                <w:sz w:val="24"/>
                <w:szCs w:val="24"/>
                <w:highlight w:val="none"/>
                <w:lang w:eastAsia="zh-CN"/>
              </w:rPr>
              <w:t>，专家研究方向与送审论文所属学科、专业高度匹配。</w:t>
            </w:r>
          </w:p>
          <w:p w14:paraId="3327E6F9">
            <w:pPr>
              <w:spacing w:line="500" w:lineRule="exact"/>
              <w:jc w:val="left"/>
              <w:rPr>
                <w:rFonts w:hint="eastAsia" w:ascii="Times New Roman" w:hAnsi="Times New Roman" w:cs="Times New Roman"/>
                <w:kern w:val="28"/>
                <w:sz w:val="24"/>
                <w:szCs w:val="24"/>
                <w:highlight w:val="none"/>
                <w:lang w:val="en-US" w:eastAsia="zh-CN"/>
              </w:rPr>
            </w:pPr>
            <w:r>
              <w:rPr>
                <w:rFonts w:hint="default" w:ascii="Times New Roman" w:hAnsi="Times New Roman" w:cs="Times New Roman"/>
                <w:b/>
                <w:bCs/>
                <w:kern w:val="28"/>
                <w:sz w:val="24"/>
                <w:szCs w:val="24"/>
                <w:highlight w:val="none"/>
              </w:rPr>
              <w:t>（供应商响应时须提供承诺函，格式自拟）。</w:t>
            </w:r>
          </w:p>
          <w:p w14:paraId="61D1E15F">
            <w:pPr>
              <w:spacing w:line="500" w:lineRule="exact"/>
              <w:jc w:val="left"/>
              <w:rPr>
                <w:rFonts w:hint="default" w:ascii="Times New Roman" w:hAnsi="Times New Roman" w:cs="Times New Roman"/>
                <w:kern w:val="28"/>
                <w:sz w:val="24"/>
                <w:szCs w:val="24"/>
                <w:highlight w:val="none"/>
              </w:rPr>
            </w:pPr>
            <w:r>
              <w:rPr>
                <w:rFonts w:hint="default" w:ascii="宋体" w:hAnsi="宋体" w:eastAsia="宋体" w:cs="宋体"/>
                <w:kern w:val="28"/>
                <w:sz w:val="24"/>
                <w:szCs w:val="24"/>
                <w:highlight w:val="none"/>
              </w:rPr>
              <w:t>★5、</w:t>
            </w:r>
            <w:r>
              <w:rPr>
                <w:rFonts w:hint="default" w:ascii="Times New Roman" w:hAnsi="Times New Roman" w:cs="Times New Roman"/>
                <w:kern w:val="28"/>
                <w:sz w:val="24"/>
                <w:szCs w:val="24"/>
                <w:highlight w:val="none"/>
              </w:rPr>
              <w:t>评阅完毕后结果反馈需按照采购人要求，及时提供相关材料对应的评阅书、结果汇总统计表、分项指标评阅结果统计表、评阅专家信息表以及其他与评审相关的材料；如果采购人在使用评审结果过程中需要供应商对评阅结果进行有针对性处理，供应商应积极配合。</w:t>
            </w:r>
          </w:p>
          <w:p w14:paraId="7215FD8E">
            <w:pPr>
              <w:spacing w:line="500" w:lineRule="exact"/>
              <w:jc w:val="left"/>
              <w:rPr>
                <w:rFonts w:hint="default" w:ascii="Times New Roman" w:hAnsi="Times New Roman" w:eastAsia="宋体" w:cs="Times New Roman"/>
                <w:kern w:val="28"/>
                <w:sz w:val="24"/>
                <w:szCs w:val="24"/>
                <w:highlight w:val="none"/>
                <w:lang w:val="en-US" w:eastAsia="zh-CN"/>
              </w:rPr>
            </w:pPr>
            <w:r>
              <w:rPr>
                <w:rFonts w:hint="default" w:ascii="宋体" w:hAnsi="宋体" w:eastAsia="宋体" w:cs="宋体"/>
                <w:kern w:val="28"/>
                <w:sz w:val="24"/>
                <w:szCs w:val="24"/>
                <w:highlight w:val="none"/>
              </w:rPr>
              <w:t>★</w:t>
            </w:r>
            <w:r>
              <w:rPr>
                <w:rFonts w:hint="eastAsia" w:ascii="宋体" w:hAnsi="宋体" w:eastAsia="宋体" w:cs="宋体"/>
                <w:kern w:val="28"/>
                <w:sz w:val="24"/>
                <w:szCs w:val="24"/>
                <w:highlight w:val="none"/>
                <w:lang w:val="en-US" w:eastAsia="zh-CN"/>
              </w:rPr>
              <w:t>6、</w:t>
            </w:r>
            <w:r>
              <w:rPr>
                <w:rFonts w:hint="eastAsia" w:ascii="Times New Roman" w:hAnsi="Times New Roman" w:cs="Times New Roman"/>
                <w:kern w:val="28"/>
                <w:sz w:val="24"/>
                <w:szCs w:val="24"/>
                <w:highlight w:val="none"/>
                <w:lang w:val="en-US" w:eastAsia="zh-CN"/>
              </w:rPr>
              <w:t>供应商接到采购人评审指令后</w:t>
            </w:r>
            <w:r>
              <w:rPr>
                <w:rFonts w:hint="eastAsia" w:ascii="宋体" w:hAnsi="宋体" w:eastAsia="宋体" w:cs="宋体"/>
                <w:kern w:val="28"/>
                <w:sz w:val="24"/>
                <w:szCs w:val="24"/>
                <w:highlight w:val="none"/>
                <w:lang w:val="en-US" w:eastAsia="zh-CN"/>
              </w:rPr>
              <w:t>10</w:t>
            </w:r>
            <w:r>
              <w:rPr>
                <w:rFonts w:hint="eastAsia" w:ascii="Times New Roman" w:hAnsi="Times New Roman" w:cs="Times New Roman"/>
                <w:kern w:val="28"/>
                <w:sz w:val="24"/>
                <w:szCs w:val="24"/>
                <w:highlight w:val="none"/>
                <w:lang w:val="en-US" w:eastAsia="zh-CN"/>
              </w:rPr>
              <w:t>个工作日内反馈评阅结果。</w:t>
            </w:r>
          </w:p>
        </w:tc>
      </w:tr>
    </w:tbl>
    <w:p w14:paraId="73CF34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22E3D"/>
    <w:rsid w:val="35EB75E0"/>
    <w:rsid w:val="4B222E3D"/>
    <w:rsid w:val="6B7C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2026-09-03T02:18:00Z</dcterms:created>
  <dc:creator>WPS_1569914089</dc:creator>
  <cp:lastModifiedBy>WPS_1569914089</cp:lastModifiedBy>
  <dcterms:modified xsi:type="dcterms:W3CDTF">2026-09-03T02:29:48Z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0DDAAA978CEA4DAB9BA6F7026B490D8F_11</vt:lpwstr>
  </property>
  <property fmtid="{D5CDD505-2E9C-101B-9397-08002B2CF9AE}" pid="4" name="KSOTemplateDocerSaveRecord">
    <vt:lpwstr>eyJoZGlkIjoiZDA1NTYzZGVjYmI2MTBiZWRhMGI1OTRlMTc0ZDE2NmQiLCJ1c2VySWQiOiI2NzkyODcwMjgifQ==</vt:lpwstr>
  </property>
</Properties>
</file>