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id w:val="1"/>
        <w:docPartObj>
          <w:docPartGallery w:val="Table of Contents"/>
          <w:docPartUnique/>
        </w:docPartObj>
      </w:sdtPr>
      <w:sdtContent>
        <w:p>
          <w:pPr>
            <w:pStyle w:val="22"/>
            <w:spacing w:before="240" w:after="0"/>
            <w:jc w:val="center"/>
            <w:rPr>
              <w:b/>
              <w:bCs/>
            </w:rPr>
          </w:pPr>
          <w:bookmarkStart w:id="0" w:name="_Toc22227"/>
          <w:r>
            <w:rPr>
              <w:b/>
              <w:bCs/>
              <w:lang w:val="zh-CN"/>
            </w:rPr>
            <w:t>目  录</w:t>
          </w:r>
          <w:bookmarkEnd w:id="0"/>
        </w:p>
        <w:p>
          <w:pPr>
            <w:jc w:val="center"/>
            <w:rPr>
              <w:lang w:val="zh-CN"/>
            </w:rPr>
          </w:pPr>
        </w:p>
        <w:p>
          <w:pPr>
            <w:pStyle w:val="8"/>
            <w:tabs>
              <w:tab w:val="right" w:leader="dot" w:pos="13958"/>
            </w:tabs>
          </w:pPr>
          <w:r>
            <w:fldChar w:fldCharType="begin"/>
          </w:r>
          <w:r>
            <w:rPr>
              <w:rStyle w:val="18"/>
            </w:rPr>
            <w:instrText xml:space="preserve">TOC \z \o "1-3" \u \h</w:instrText>
          </w:r>
          <w:r>
            <w:rPr>
              <w:rStyle w:val="18"/>
            </w:rPr>
            <w:fldChar w:fldCharType="separate"/>
          </w:r>
          <w:r>
            <w:fldChar w:fldCharType="begin"/>
          </w:r>
          <w:r>
            <w:instrText xml:space="preserve"> HYPERLINK \l _Toc22227 </w:instrText>
          </w:r>
          <w:r>
            <w:fldChar w:fldCharType="separate"/>
          </w:r>
          <w:r>
            <w:rPr>
              <w:bCs/>
              <w:lang w:val="zh-CN"/>
            </w:rPr>
            <w:t>目  录</w:t>
          </w:r>
          <w:r>
            <w:tab/>
          </w:r>
          <w:r>
            <w:fldChar w:fldCharType="begin"/>
          </w:r>
          <w:r>
            <w:instrText xml:space="preserve"> PAGEREF _Toc22227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_Toc5845 </w:instrText>
          </w:r>
          <w:r>
            <w:fldChar w:fldCharType="separate"/>
          </w:r>
          <w:r>
            <w:t>1、 选题</w:t>
          </w:r>
          <w:r>
            <w:tab/>
          </w:r>
          <w:r>
            <w:fldChar w:fldCharType="begin"/>
          </w:r>
          <w:r>
            <w:instrText xml:space="preserve"> PAGEREF _Toc5845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_Toc21146 </w:instrText>
          </w:r>
          <w:r>
            <w:fldChar w:fldCharType="separate"/>
          </w:r>
          <w:r>
            <w:t>2、 毕设的核心业务环节</w:t>
          </w:r>
          <w:r>
            <w:tab/>
          </w:r>
          <w:r>
            <w:fldChar w:fldCharType="begin"/>
          </w:r>
          <w:r>
            <w:instrText xml:space="preserve"> PAGEREF _Toc21146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_Toc28187 </w:instrText>
          </w:r>
          <w:r>
            <w:fldChar w:fldCharType="separate"/>
          </w:r>
          <w:r>
            <w:rPr>
              <w:szCs w:val="24"/>
            </w:rPr>
            <w:t>2.1 任务书</w:t>
          </w:r>
          <w:r>
            <w:tab/>
          </w:r>
          <w:r>
            <w:fldChar w:fldCharType="begin"/>
          </w:r>
          <w:r>
            <w:instrText xml:space="preserve"> PAGEREF _Toc28187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_Toc10393 </w:instrText>
          </w:r>
          <w:r>
            <w:fldChar w:fldCharType="separate"/>
          </w:r>
          <w:r>
            <w:rPr>
              <w:szCs w:val="24"/>
            </w:rPr>
            <w:t>2.2 开题报告</w:t>
          </w:r>
          <w:r>
            <w:tab/>
          </w:r>
          <w:r>
            <w:fldChar w:fldCharType="begin"/>
          </w:r>
          <w:r>
            <w:instrText xml:space="preserve"> PAGEREF _Toc10393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_Toc9676 </w:instrText>
          </w:r>
          <w:r>
            <w:fldChar w:fldCharType="separate"/>
          </w:r>
          <w:r>
            <w:rPr>
              <w:szCs w:val="24"/>
            </w:rPr>
            <w:t>2.3 过程指导记录</w:t>
          </w:r>
          <w:r>
            <w:tab/>
          </w:r>
          <w:r>
            <w:fldChar w:fldCharType="begin"/>
          </w:r>
          <w:r>
            <w:instrText xml:space="preserve"> PAGEREF _Toc9676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_Toc27934 </w:instrText>
          </w:r>
          <w:r>
            <w:fldChar w:fldCharType="separate"/>
          </w:r>
          <w:r>
            <w:rPr>
              <w:szCs w:val="24"/>
            </w:rPr>
            <w:t>2.4 中期检查</w:t>
          </w:r>
          <w:r>
            <w:tab/>
          </w:r>
          <w:r>
            <w:fldChar w:fldCharType="begin"/>
          </w:r>
          <w:r>
            <w:instrText xml:space="preserve"> PAGEREF _Toc27934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13958"/>
            </w:tabs>
          </w:pPr>
          <w:r>
            <w:fldChar w:fldCharType="begin"/>
          </w:r>
          <w:r>
            <w:instrText xml:space="preserve"> HYPERLINK \l _Toc19352 </w:instrText>
          </w:r>
          <w:r>
            <w:fldChar w:fldCharType="separate"/>
          </w:r>
          <w:r>
            <w:rPr>
              <w:szCs w:val="24"/>
            </w:rPr>
            <w:t>2.5 论文</w:t>
          </w:r>
          <w:r>
            <w:tab/>
          </w:r>
          <w:r>
            <w:fldChar w:fldCharType="begin"/>
          </w:r>
          <w:r>
            <w:instrText xml:space="preserve"> PAGEREF _Toc19352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/>
    <w:p/>
    <w:p/>
    <w:p/>
    <w:p/>
    <w:p/>
    <w:p/>
    <w:p/>
    <w:p>
      <w:r>
        <w:t>毕业设计学生操作主要的环节有：</w:t>
      </w:r>
    </w:p>
    <w:p>
      <w:pPr>
        <w:ind w:firstLine="210"/>
        <w:jc w:val="center"/>
      </w:pPr>
      <w:r>
        <w:drawing>
          <wp:inline distT="0" distB="0" distL="0" distR="0">
            <wp:extent cx="9439275" cy="1226820"/>
            <wp:effectExtent l="0" t="0" r="0" b="0"/>
            <wp:docPr id="1" name="图片 1" descr="卡通人物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卡通人物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39275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毕业设计学生主要操作流程图</w:t>
      </w:r>
    </w:p>
    <w:p>
      <w:pPr>
        <w:ind w:firstLine="210"/>
        <w:jc w:val="center"/>
      </w:pPr>
    </w:p>
    <w:p>
      <w:pPr>
        <w:pStyle w:val="21"/>
        <w:ind w:left="360" w:firstLine="0"/>
      </w:pPr>
      <w:r>
        <w:t>学生登录系统之后，可以在“毕业设计（论文）”主菜单下，看到右侧页面，就是以上各个主要的环节。</w:t>
      </w:r>
      <w:r>
        <w:drawing>
          <wp:inline distT="0" distB="0" distL="0" distR="0">
            <wp:extent cx="8884920" cy="2031365"/>
            <wp:effectExtent l="0" t="0" r="0" b="0"/>
            <wp:docPr id="2" name="图片 2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8492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1" w:name="_Toc5845"/>
      <w:r>
        <w:t>1、 选题</w:t>
      </w:r>
      <w:bookmarkEnd w:id="1"/>
    </w:p>
    <w:p>
      <w:pPr>
        <w:pStyle w:val="21"/>
        <w:ind w:left="360" w:firstLine="0"/>
      </w:pPr>
      <w:r>
        <w:t>在右侧第一个菜单“选题浏览”页面，如果是在选题时间内，学生可以看到面向学生所在专业的选题模式是“学生自选”的选题。有些选题老师设置的模式是“教师代选”的，学生是看不到的，这种的可以让教师为学生代选课题。</w:t>
      </w:r>
    </w:p>
    <w:p>
      <w:pPr>
        <w:pStyle w:val="21"/>
        <w:ind w:left="360" w:firstLine="0"/>
      </w:pPr>
      <w:r>
        <w:t>学生自选可以按照课题名称、教师或者选题状态进行筛选查询，以便更快选到心怡的课题。</w:t>
      </w:r>
    </w:p>
    <w:p>
      <w:pPr>
        <w:pStyle w:val="21"/>
        <w:ind w:left="360" w:firstLine="0"/>
      </w:pPr>
      <w:r>
        <w:drawing>
          <wp:inline distT="0" distB="0" distL="0" distR="0">
            <wp:extent cx="8738870" cy="2655570"/>
            <wp:effectExtent l="0" t="0" r="0" b="0"/>
            <wp:docPr id="3" name="图片 3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表格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3887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学生选题之后，需要指导教师进行确认；在教师未确认之前，还可以删除重新选题。</w:t>
      </w:r>
    </w:p>
    <w:p>
      <w:pPr>
        <w:pStyle w:val="21"/>
        <w:ind w:left="360" w:firstLine="0"/>
      </w:pPr>
      <w:r>
        <w:drawing>
          <wp:inline distT="0" distB="0" distL="0" distR="0">
            <wp:extent cx="8927465" cy="1296670"/>
            <wp:effectExtent l="0" t="0" r="0" b="0"/>
            <wp:docPr id="4" name="图片 4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27465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导师确认后，页面的审核状态更改为“已确认”。至此，选题完成。</w:t>
      </w:r>
    </w:p>
    <w:p>
      <w:pPr>
        <w:pStyle w:val="21"/>
        <w:ind w:left="360" w:firstLine="0"/>
        <w:rPr>
          <w:vertAlign w:val="superscript"/>
        </w:rPr>
      </w:pPr>
      <w:r>
        <w:drawing>
          <wp:inline distT="0" distB="0" distL="0" distR="0">
            <wp:extent cx="8597265" cy="1120775"/>
            <wp:effectExtent l="0" t="0" r="0" b="0"/>
            <wp:docPr id="5" name="图片 5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文本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597265" cy="112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  <w:rPr>
          <w:b/>
          <w:bCs/>
          <w:sz w:val="24"/>
          <w:szCs w:val="28"/>
        </w:rPr>
      </w:pPr>
      <w:r>
        <w:rPr>
          <w:rFonts w:ascii="仿宋" w:hAnsi="仿宋" w:eastAsia="仿宋" w:cs="宋体"/>
          <w:b/>
          <w:bCs/>
          <w:color w:val="FFC000"/>
          <w:sz w:val="72"/>
          <w:szCs w:val="72"/>
        </w:rPr>
        <w:t>！</w:t>
      </w:r>
      <w:r>
        <w:rPr>
          <w:b/>
          <w:bCs/>
          <w:sz w:val="24"/>
          <w:szCs w:val="28"/>
        </w:rPr>
        <w:t>注意：</w:t>
      </w:r>
    </w:p>
    <w:p>
      <w:pPr>
        <w:pStyle w:val="21"/>
        <w:numPr>
          <w:ilvl w:val="0"/>
          <w:numId w:val="1"/>
        </w:numPr>
        <w:ind w:left="360" w:leftChars="0" w:firstLine="1440" w:firstLineChars="0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 xml:space="preserve">在指导老师确认之后，不可再进行选题或更换课题的操作，如有特殊情况需要更换课题，请联系自己的指导老师；    </w:t>
      </w:r>
    </w:p>
    <w:p>
      <w:pPr>
        <w:pStyle w:val="21"/>
        <w:numPr>
          <w:ilvl w:val="0"/>
          <w:numId w:val="1"/>
        </w:numPr>
        <w:ind w:left="360" w:leftChars="0" w:firstLine="1440" w:firstLineChars="0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如果是指导老师直接指定论文题目给学生，那学生则不需要进行选题，等待老师指定后即可在“已选课题”中将会看到。</w:t>
      </w:r>
    </w:p>
    <w:p>
      <w:pPr>
        <w:pStyle w:val="21"/>
        <w:ind w:left="360" w:firstLine="0"/>
        <w:rPr>
          <w:b/>
          <w:bCs/>
          <w:sz w:val="24"/>
          <w:szCs w:val="28"/>
        </w:rPr>
      </w:pPr>
      <w:r>
        <w:rPr>
          <w:rFonts w:ascii="仿宋" w:hAnsi="仿宋" w:eastAsia="仿宋" w:cs="宋体"/>
          <w:b/>
          <w:bCs/>
          <w:color w:val="00B050"/>
          <w:sz w:val="72"/>
          <w:szCs w:val="72"/>
        </w:rPr>
        <w:t xml:space="preserve">? </w:t>
      </w:r>
      <w:r>
        <w:rPr>
          <w:b/>
          <w:bCs/>
          <w:sz w:val="24"/>
          <w:szCs w:val="28"/>
        </w:rPr>
        <w:t>想要选题，但是看不见该指导教师的题目？</w:t>
      </w:r>
    </w:p>
    <w:p>
      <w:pPr>
        <w:pStyle w:val="21"/>
        <w:ind w:left="360" w:firstLine="0"/>
        <w:rPr>
          <w:rFonts w:hint="eastAsia"/>
          <w:b/>
          <w:bCs/>
          <w:sz w:val="24"/>
          <w:szCs w:val="28"/>
          <w:lang w:val="en-US" w:eastAsia="zh-CN"/>
        </w:rPr>
      </w:pPr>
      <w:r>
        <w:rPr>
          <w:vertAlign w:val="superscript"/>
        </w:rPr>
        <w:t xml:space="preserve">             </w:t>
      </w:r>
      <w:r>
        <w:rPr>
          <w:b/>
          <w:bCs/>
          <w:sz w:val="24"/>
          <w:szCs w:val="28"/>
        </w:rPr>
        <w:t>需要确认</w:t>
      </w:r>
      <w:r>
        <w:rPr>
          <w:rFonts w:hint="eastAsia"/>
          <w:b/>
          <w:bCs/>
          <w:sz w:val="24"/>
          <w:szCs w:val="28"/>
          <w:lang w:val="en-US" w:eastAsia="zh-CN"/>
        </w:rPr>
        <w:t>以下几点：</w:t>
      </w:r>
    </w:p>
    <w:p>
      <w:pPr>
        <w:pStyle w:val="21"/>
        <w:numPr>
          <w:ilvl w:val="0"/>
          <w:numId w:val="2"/>
        </w:numPr>
        <w:ind w:left="360" w:firstLine="416" w:firstLineChars="0"/>
        <w:rPr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  <w:lang w:val="en-US" w:eastAsia="zh-CN"/>
        </w:rPr>
        <w:t>当前是否</w:t>
      </w:r>
      <w:r>
        <w:rPr>
          <w:b/>
          <w:bCs/>
          <w:sz w:val="24"/>
          <w:szCs w:val="28"/>
        </w:rPr>
        <w:t>在选题时间内；</w:t>
      </w:r>
    </w:p>
    <w:p>
      <w:pPr>
        <w:pStyle w:val="21"/>
        <w:numPr>
          <w:ilvl w:val="0"/>
          <w:numId w:val="2"/>
        </w:numPr>
        <w:ind w:left="360" w:leftChars="0" w:firstLine="416" w:firstLineChars="0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老师是否申报题目以及是否审核通过；</w:t>
      </w:r>
    </w:p>
    <w:p>
      <w:pPr>
        <w:pStyle w:val="21"/>
        <w:numPr>
          <w:ilvl w:val="0"/>
          <w:numId w:val="2"/>
        </w:numPr>
        <w:ind w:left="360" w:leftChars="0" w:firstLine="416" w:firstLineChars="0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老师题目是否是学生自选模式；</w:t>
      </w:r>
    </w:p>
    <w:p>
      <w:pPr>
        <w:pStyle w:val="21"/>
        <w:numPr>
          <w:numId w:val="0"/>
        </w:numPr>
        <w:ind w:left="776" w:leftChars="0"/>
        <w:rPr>
          <w:vertAlign w:val="superscript"/>
        </w:rPr>
      </w:pPr>
      <w:r>
        <w:rPr>
          <w:b/>
          <w:bCs/>
          <w:sz w:val="24"/>
          <w:szCs w:val="28"/>
        </w:rPr>
        <w:t>4，老师题目所选的面向专业是否面向本人的专业。</w:t>
      </w:r>
    </w:p>
    <w:p>
      <w:pPr>
        <w:pStyle w:val="3"/>
      </w:pPr>
      <w:bookmarkStart w:id="2" w:name="_Toc21146"/>
      <w:r>
        <w:t>2、 毕设的核心业务环节</w:t>
      </w:r>
      <w:bookmarkEnd w:id="2"/>
    </w:p>
    <w:p>
      <w:pPr>
        <w:pStyle w:val="21"/>
        <w:ind w:left="360" w:firstLine="0"/>
      </w:pPr>
      <w:r>
        <w:t>选题完成后，学生就进入毕设的核心业务环节了。</w:t>
      </w:r>
    </w:p>
    <w:p>
      <w:pPr>
        <w:pStyle w:val="3"/>
        <w:rPr>
          <w:sz w:val="24"/>
          <w:szCs w:val="24"/>
        </w:rPr>
      </w:pPr>
      <w:bookmarkStart w:id="3" w:name="_Toc28187"/>
      <w:r>
        <w:rPr>
          <w:sz w:val="24"/>
          <w:szCs w:val="24"/>
        </w:rPr>
        <w:t>2.1 任务书</w:t>
      </w:r>
      <w:bookmarkEnd w:id="3"/>
    </w:p>
    <w:p>
      <w:pPr>
        <w:pStyle w:val="21"/>
        <w:ind w:left="360" w:firstLine="0"/>
      </w:pPr>
      <w:r>
        <w:t>任务书是由教师下发的，学生下载并查看，按照任务书的要求进行完成后续的毕设文档提交等。 点击任务书页面的任务书名称，就可进行下载。</w:t>
      </w:r>
    </w:p>
    <w:p>
      <w:pPr>
        <w:pStyle w:val="21"/>
        <w:ind w:left="360" w:firstLine="0"/>
      </w:pPr>
      <w:r>
        <w:drawing>
          <wp:inline distT="0" distB="0" distL="0" distR="0">
            <wp:extent cx="9304020" cy="1450975"/>
            <wp:effectExtent l="0" t="0" r="0" b="0"/>
            <wp:docPr id="6" name="图片 6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0402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pStyle w:val="3"/>
        <w:rPr>
          <w:sz w:val="24"/>
          <w:szCs w:val="24"/>
        </w:rPr>
      </w:pPr>
      <w:bookmarkStart w:id="4" w:name="_Toc10393"/>
      <w:r>
        <w:rPr>
          <w:sz w:val="24"/>
          <w:szCs w:val="24"/>
        </w:rPr>
        <w:t>2.2 开题报告</w:t>
      </w:r>
      <w:bookmarkEnd w:id="4"/>
    </w:p>
    <w:p>
      <w:pPr>
        <w:pStyle w:val="21"/>
        <w:ind w:left="360" w:firstLine="0"/>
      </w:pPr>
      <w:r>
        <w:t>学生在开题报告环节，需要点击页面的“初始化开题报告”，然后下载，在本地进行编写并上传到系统，最后记得提交开题报告。等待导师审核。</w:t>
      </w:r>
    </w:p>
    <w:p>
      <w:pPr>
        <w:pStyle w:val="21"/>
        <w:ind w:left="360" w:firstLine="0"/>
      </w:pPr>
      <w:r>
        <w:drawing>
          <wp:inline distT="0" distB="0" distL="0" distR="0">
            <wp:extent cx="8340725" cy="1438910"/>
            <wp:effectExtent l="0" t="0" r="0" b="0"/>
            <wp:docPr id="7" name="图片 7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drawing>
          <wp:inline distT="0" distB="0" distL="0" distR="0">
            <wp:extent cx="8682355" cy="2014220"/>
            <wp:effectExtent l="0" t="0" r="0" b="0"/>
            <wp:docPr id="8" name="图片 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2355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drawing>
          <wp:inline distT="0" distB="0" distL="0" distR="0">
            <wp:extent cx="9123680" cy="1885315"/>
            <wp:effectExtent l="0" t="0" r="0" b="0"/>
            <wp:docPr id="9" name="图片 9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23680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如果导师退回了开题报告，学生需要按照老师意见修改并重新上传提交，等待审核。</w:t>
      </w:r>
    </w:p>
    <w:p>
      <w:pPr>
        <w:pStyle w:val="21"/>
        <w:ind w:left="360" w:firstLine="0"/>
      </w:pPr>
      <w:r>
        <w:rPr>
          <w:rFonts w:ascii="仿宋" w:hAnsi="仿宋" w:eastAsia="仿宋" w:cs="宋体"/>
          <w:b/>
          <w:bCs/>
          <w:color w:val="FFC000"/>
          <w:sz w:val="72"/>
          <w:szCs w:val="72"/>
        </w:rPr>
        <w:t>！</w:t>
      </w:r>
      <w:r>
        <w:rPr>
          <w:b/>
          <w:bCs/>
          <w:sz w:val="24"/>
          <w:szCs w:val="28"/>
        </w:rPr>
        <w:t>注意：重新上传的开题报告会覆盖已有文件，如果需要保留上一份文档请主动下载进行备份。</w:t>
      </w:r>
    </w:p>
    <w:p>
      <w:pPr>
        <w:pStyle w:val="21"/>
        <w:ind w:left="360" w:firstLine="0"/>
      </w:pPr>
      <w:r>
        <w:drawing>
          <wp:inline distT="0" distB="0" distL="0" distR="0">
            <wp:extent cx="8930640" cy="19481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30640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开题报告导师审核通过之后，学生端页面状态显示：</w:t>
      </w:r>
    </w:p>
    <w:p>
      <w:pPr>
        <w:pStyle w:val="21"/>
        <w:ind w:left="360" w:firstLine="0"/>
      </w:pPr>
      <w:r>
        <w:drawing>
          <wp:inline distT="0" distB="0" distL="0" distR="0">
            <wp:extent cx="8505190" cy="1583055"/>
            <wp:effectExtent l="0" t="0" r="0" b="0"/>
            <wp:docPr id="11" name="图片 19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9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05190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如果当前毕设过程设置了开题答辩环节，开题报告通过审核之后未安排到开题答辩分组时，学生端页面状态：</w:t>
      </w:r>
    </w:p>
    <w:p>
      <w:pPr>
        <w:pStyle w:val="21"/>
        <w:ind w:left="360" w:firstLine="0"/>
      </w:pPr>
      <w:r>
        <w:drawing>
          <wp:inline distT="0" distB="0" distL="0" distR="0">
            <wp:extent cx="8813165" cy="1431290"/>
            <wp:effectExtent l="0" t="0" r="0" b="0"/>
            <wp:docPr id="12" name="图片 27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7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13165" cy="143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如果学生被安排到开题答辩分组了，页面显示：</w:t>
      </w:r>
    </w:p>
    <w:p>
      <w:pPr>
        <w:pStyle w:val="21"/>
        <w:ind w:left="360" w:firstLine="0"/>
      </w:pPr>
      <w:r>
        <w:drawing>
          <wp:inline distT="0" distB="0" distL="0" distR="0">
            <wp:extent cx="8778875" cy="1691005"/>
            <wp:effectExtent l="0" t="0" r="0" b="0"/>
            <wp:docPr id="13" name="图片 28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8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77887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可以在“答辩和成绩”查看具体的开题答辩安排，以便准时间准地点参加答辩。</w:t>
      </w:r>
    </w:p>
    <w:p>
      <w:pPr>
        <w:pStyle w:val="21"/>
        <w:ind w:left="360" w:firstLine="0"/>
      </w:pPr>
      <w:r>
        <w:drawing>
          <wp:inline distT="0" distB="0" distL="0" distR="0">
            <wp:extent cx="8723630" cy="1397000"/>
            <wp:effectExtent l="0" t="0" r="0" b="0"/>
            <wp:docPr id="14" name="图片 29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9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72363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24"/>
          <w:szCs w:val="24"/>
        </w:rPr>
      </w:pPr>
      <w:bookmarkStart w:id="5" w:name="_Toc9676"/>
      <w:r>
        <w:rPr>
          <w:sz w:val="24"/>
          <w:szCs w:val="24"/>
        </w:rPr>
        <w:t>2.3 过程指导记录</w:t>
      </w:r>
      <w:bookmarkEnd w:id="5"/>
    </w:p>
    <w:p>
      <w:pPr>
        <w:pStyle w:val="21"/>
        <w:ind w:left="360" w:firstLine="0"/>
      </w:pPr>
      <w:r>
        <w:t>开题报告环节完成之后，学生可以添加导师对自己的指导的记录，指导记录一般有条数限制，这个由学校教务处统一设置。在该页面，点击“添加过程指导记录”，在弹出的“添加指导记录”窗口中选择指导时间，填写指导内容、论文进展情况，根据实际情况选择是否添加附件，最后点击“保存”就可完成一条指导记录的添加。直至完成规定的限制条数。</w:t>
      </w:r>
    </w:p>
    <w:p>
      <w:pPr>
        <w:pStyle w:val="21"/>
        <w:ind w:left="360" w:firstLine="0"/>
      </w:pPr>
      <w:r>
        <w:drawing>
          <wp:inline distT="0" distB="0" distL="0" distR="0">
            <wp:extent cx="8942705" cy="1901825"/>
            <wp:effectExtent l="0" t="0" r="0" b="0"/>
            <wp:docPr id="15" name="图片 11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942705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drawing>
          <wp:inline distT="0" distB="0" distL="0" distR="0">
            <wp:extent cx="7277735" cy="4747895"/>
            <wp:effectExtent l="0" t="0" r="0" b="0"/>
            <wp:docPr id="16" name="图片 1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77735" cy="474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学生添加的指导记录需要教师进行确认，导师确认后，学生端页面的记录状态将由“未确认”变更为“已确认”。</w:t>
      </w:r>
    </w:p>
    <w:p>
      <w:pPr>
        <w:pStyle w:val="21"/>
        <w:ind w:left="360" w:firstLine="0"/>
      </w:pPr>
      <w:r>
        <w:drawing>
          <wp:inline distT="0" distB="0" distL="0" distR="0">
            <wp:extent cx="9211310" cy="1682115"/>
            <wp:effectExtent l="0" t="0" r="0" b="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1131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drawing>
          <wp:inline distT="0" distB="0" distL="0" distR="0">
            <wp:extent cx="8028940" cy="1447800"/>
            <wp:effectExtent l="0" t="0" r="0" b="0"/>
            <wp:docPr id="18" name="图片 14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2894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对于导师添加的过程指导记录，学生需要进行“阅读”。</w:t>
      </w:r>
    </w:p>
    <w:p>
      <w:pPr>
        <w:pStyle w:val="21"/>
        <w:ind w:left="360" w:firstLine="0"/>
      </w:pPr>
      <w:r>
        <w:drawing>
          <wp:inline distT="0" distB="0" distL="0" distR="0">
            <wp:extent cx="8357870" cy="1825625"/>
            <wp:effectExtent l="0" t="0" r="0" b="0"/>
            <wp:docPr id="19" name="图片 15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357870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  <w:rPr>
          <w:b/>
          <w:bCs/>
          <w:sz w:val="24"/>
          <w:szCs w:val="28"/>
        </w:rPr>
      </w:pPr>
      <w:r>
        <w:rPr>
          <w:rFonts w:ascii="仿宋" w:hAnsi="仿宋" w:eastAsia="仿宋" w:cs="宋体"/>
          <w:b/>
          <w:bCs/>
          <w:color w:val="FFC000"/>
          <w:sz w:val="72"/>
          <w:szCs w:val="72"/>
        </w:rPr>
        <w:t>！</w:t>
      </w:r>
      <w:r>
        <w:rPr>
          <w:b/>
          <w:bCs/>
          <w:sz w:val="24"/>
          <w:szCs w:val="28"/>
        </w:rPr>
        <w:t>注意：虽然在后续环节中，过程指导记录也可进行补充添加，但在下一环节开始之前，过程指导记录一定要达到</w:t>
      </w:r>
      <w:r>
        <w:rPr>
          <w:rFonts w:hint="eastAsia"/>
          <w:b/>
          <w:bCs/>
          <w:sz w:val="24"/>
          <w:szCs w:val="28"/>
          <w:lang w:val="en-US" w:eastAsia="zh-CN"/>
        </w:rPr>
        <w:t>要求</w:t>
      </w:r>
      <w:r>
        <w:rPr>
          <w:b/>
          <w:bCs/>
          <w:sz w:val="24"/>
          <w:szCs w:val="28"/>
        </w:rPr>
        <w:t>条数，否则会影响后续环节的进行，从而影响毕设进度。</w:t>
      </w:r>
    </w:p>
    <w:p>
      <w:pPr>
        <w:pStyle w:val="3"/>
        <w:rPr>
          <w:sz w:val="24"/>
          <w:szCs w:val="24"/>
        </w:rPr>
      </w:pPr>
      <w:bookmarkStart w:id="6" w:name="_Toc27934"/>
      <w:r>
        <w:rPr>
          <w:sz w:val="24"/>
          <w:szCs w:val="24"/>
        </w:rPr>
        <w:t>2.4 中期检查</w:t>
      </w:r>
      <w:bookmarkEnd w:id="6"/>
    </w:p>
    <w:p>
      <w:pPr>
        <w:pStyle w:val="21"/>
        <w:ind w:left="360" w:firstLine="0"/>
      </w:pPr>
      <w:r>
        <w:t>学生在中期检查环节，首先需要“初始化中期检查”，然后下载模板，本地编辑完成之后上传该中期检查，最后“提交中期检查”。</w:t>
      </w:r>
    </w:p>
    <w:p>
      <w:pPr>
        <w:pStyle w:val="21"/>
        <w:ind w:left="360" w:firstLine="0"/>
      </w:pPr>
      <w:r>
        <w:drawing>
          <wp:inline distT="0" distB="0" distL="0" distR="0">
            <wp:extent cx="8322310" cy="1246505"/>
            <wp:effectExtent l="0" t="0" r="0" b="0"/>
            <wp:docPr id="20" name="图片 1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322310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drawing>
          <wp:inline distT="0" distB="0" distL="114300" distR="114300">
            <wp:extent cx="8856345" cy="2101215"/>
            <wp:effectExtent l="0" t="0" r="1905" b="1333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t>中期检查导师审核通过之后，学生端页面状态：</w:t>
      </w:r>
    </w:p>
    <w:p>
      <w:pPr>
        <w:pStyle w:val="21"/>
        <w:ind w:left="360" w:firstLine="0"/>
      </w:pPr>
      <w:r>
        <w:drawing>
          <wp:inline distT="0" distB="0" distL="114300" distR="114300">
            <wp:extent cx="8860790" cy="1426845"/>
            <wp:effectExtent l="0" t="0" r="16510" b="190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sz w:val="24"/>
          <w:szCs w:val="24"/>
        </w:rPr>
      </w:pPr>
      <w:bookmarkStart w:id="7" w:name="_Toc19352"/>
      <w:r>
        <w:rPr>
          <w:sz w:val="24"/>
          <w:szCs w:val="24"/>
        </w:rPr>
        <w:t>2.5 论文</w:t>
      </w:r>
      <w:bookmarkEnd w:id="7"/>
    </w:p>
    <w:p>
      <w:pPr>
        <w:pStyle w:val="21"/>
        <w:ind w:left="360" w:firstLine="0"/>
      </w:pPr>
      <w:r>
        <w:t>学生在论文环节，</w:t>
      </w:r>
      <w:r>
        <w:rPr>
          <w:rFonts w:hint="eastAsia"/>
          <w:lang w:val="en-US" w:eastAsia="zh-CN"/>
        </w:rPr>
        <w:t>需要</w:t>
      </w:r>
      <w:r>
        <w:t>选择学校或导师要求的论文类型，点击“选取文件”，选好文件之后，点击“上传”按钮，最后点击“提交给教师评阅”完成论文的上传。</w:t>
      </w:r>
    </w:p>
    <w:p>
      <w:pPr>
        <w:pStyle w:val="21"/>
        <w:ind w:left="360" w:firstLine="0"/>
      </w:pPr>
      <w:r>
        <w:drawing>
          <wp:inline distT="0" distB="0" distL="114300" distR="114300">
            <wp:extent cx="8861425" cy="3559810"/>
            <wp:effectExtent l="0" t="0" r="15875" b="2540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355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</w:p>
    <w:p>
      <w:pPr>
        <w:pStyle w:val="21"/>
        <w:ind w:left="360" w:firstLine="0"/>
      </w:pPr>
      <w:r>
        <w:t>导师评阅论文如果驳回了，学生需要修改论文重新上传，操作步骤同前，最后点击“修改完成，提醒老师确认”。</w:t>
      </w:r>
    </w:p>
    <w:p>
      <w:pPr>
        <w:pStyle w:val="21"/>
        <w:ind w:left="360" w:firstLine="0"/>
      </w:pPr>
      <w:r>
        <w:drawing>
          <wp:inline distT="0" distB="0" distL="114300" distR="114300">
            <wp:extent cx="8861425" cy="3216275"/>
            <wp:effectExtent l="0" t="0" r="15875" b="317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指导老师和评阅老师都是审核通过定稿的状态如下图</w:t>
      </w:r>
    </w:p>
    <w:p>
      <w:pPr>
        <w:pStyle w:val="21"/>
        <w:ind w:left="360" w:firstLine="0"/>
      </w:pPr>
      <w:r>
        <w:drawing>
          <wp:inline distT="0" distB="0" distL="0" distR="0">
            <wp:extent cx="8503920" cy="1933575"/>
            <wp:effectExtent l="0" t="0" r="11430" b="952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50392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</w:p>
    <w:p>
      <w:pPr>
        <w:pStyle w:val="21"/>
        <w:ind w:left="360" w:firstLine="0"/>
      </w:pPr>
      <w:r>
        <w:t>指导教师和评阅教师评阅都通过之后，学生可在“答辩和成绩”页面查看自己的论文答辩安排，以便准时间准地点参加答辩。</w:t>
      </w:r>
    </w:p>
    <w:p>
      <w:pPr>
        <w:pStyle w:val="21"/>
        <w:ind w:left="0" w:leftChars="0" w:firstLine="0" w:firstLineChars="0"/>
      </w:pPr>
    </w:p>
    <w:p>
      <w:pPr>
        <w:pStyle w:val="21"/>
        <w:ind w:left="360" w:firstLine="0"/>
      </w:pPr>
    </w:p>
    <w:p>
      <w:pPr>
        <w:pStyle w:val="21"/>
        <w:ind w:left="360" w:firstLine="0"/>
      </w:pPr>
      <w:r>
        <w:drawing>
          <wp:inline distT="0" distB="0" distL="0" distR="0">
            <wp:extent cx="8933180" cy="2160905"/>
            <wp:effectExtent l="0" t="0" r="0" b="0"/>
            <wp:docPr id="26" name="图片 24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 descr="图形用户界面, 应用程序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933180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</w:pPr>
    </w:p>
    <w:p>
      <w:pPr>
        <w:pStyle w:val="3"/>
        <w:rPr>
          <w:rFonts w:hint="eastAsia"/>
          <w:sz w:val="24"/>
          <w:szCs w:val="24"/>
          <w:lang w:val="en-US" w:eastAsia="zh-CN"/>
        </w:rPr>
      </w:pPr>
      <w:r>
        <w:rPr>
          <w:sz w:val="24"/>
          <w:szCs w:val="24"/>
        </w:rPr>
        <w:t>2.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抽检材料上传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学生在【抽检材料上传】页面需要完善教育部抽检需要的语种、研究方向、关键字等信息，并上传抽检需要的论文文件材料等，如下图所示，填写修改信息之后一定要点击“保存抽检信息”的按钮，文件材料上传成功即可。</w:t>
      </w:r>
      <w:bookmarkStart w:id="8" w:name="_GoBack"/>
      <w:bookmarkEnd w:id="8"/>
    </w:p>
    <w:p>
      <w:pPr>
        <w:pStyle w:val="21"/>
        <w:ind w:left="360" w:firstLine="0"/>
      </w:pPr>
      <w:r>
        <w:drawing>
          <wp:inline distT="0" distB="0" distL="114300" distR="114300">
            <wp:extent cx="6439535" cy="2999740"/>
            <wp:effectExtent l="0" t="0" r="18415" b="10160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439535" cy="299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ind w:left="360" w:firstLine="0"/>
      </w:pPr>
      <w:r>
        <w:rPr>
          <w:rFonts w:ascii="仿宋" w:hAnsi="仿宋" w:eastAsia="仿宋" w:cs="宋体"/>
          <w:b/>
          <w:bCs/>
          <w:color w:val="FFC000"/>
          <w:sz w:val="72"/>
          <w:szCs w:val="72"/>
        </w:rPr>
        <w:t>！</w:t>
      </w:r>
      <w:r>
        <w:rPr>
          <w:b/>
          <w:bCs/>
          <w:sz w:val="24"/>
          <w:szCs w:val="28"/>
        </w:rPr>
        <w:t>注意：如果任务书、开题报告、过程指导记录和中期检查在学生端缺少某个或某几个，说明当前论文过程不需要那个环节！</w:t>
      </w:r>
    </w:p>
    <w:sectPr>
      <w:pgSz w:w="16838" w:h="11906" w:orient="landscape"/>
      <w:pgMar w:top="1800" w:right="1440" w:bottom="1800" w:left="1440" w:header="0" w:footer="0" w:gutter="0"/>
      <w:pgNumType w:fmt="decimal"/>
      <w:cols w:space="720" w:num="1"/>
      <w:formProt w:val="0"/>
      <w:docGrid w:type="lines" w:linePitch="312" w:charSpace="614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roman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roman"/>
    <w:pitch w:val="default"/>
    <w:sig w:usb0="A00002BF" w:usb1="38CF7CFA" w:usb2="00000016" w:usb3="00000000" w:csb0="0004000F" w:csb1="00000000"/>
  </w:font>
  <w:font w:name="Liberation Sans">
    <w:altName w:val="宋体"/>
    <w:panose1 w:val="00000000000000000000"/>
    <w:charset w:val="86"/>
    <w:family w:val="swiss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仿宋">
    <w:panose1 w:val="02010609060101010101"/>
    <w:charset w:val="86"/>
    <w:family w:val="roma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BFBF3D2"/>
    <w:multiLevelType w:val="multilevel"/>
    <w:tmpl w:val="DBFBF3D2"/>
    <w:lvl w:ilvl="0" w:tentative="0">
      <w:start w:val="1"/>
      <w:numFmt w:val="decimal"/>
      <w:suff w:val="nothing"/>
      <w:lvlText w:val="%1，"/>
      <w:lvlJc w:val="left"/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1">
    <w:nsid w:val="606082EB"/>
    <w:multiLevelType w:val="singleLevel"/>
    <w:tmpl w:val="606082EB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420"/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c3NWNhNjRjYWM5YjMxOWI0NDMwMjM4YTMyMmVlMWEifQ=="/>
  </w:docVars>
  <w:rsids>
    <w:rsidRoot w:val="00000000"/>
    <w:rsid w:val="018D2A4B"/>
    <w:rsid w:val="024B2E32"/>
    <w:rsid w:val="1082351D"/>
    <w:rsid w:val="150221B4"/>
    <w:rsid w:val="19257A0E"/>
    <w:rsid w:val="21B17FE2"/>
    <w:rsid w:val="24797AB8"/>
    <w:rsid w:val="2F9822A3"/>
    <w:rsid w:val="3049119B"/>
    <w:rsid w:val="31FD4341"/>
    <w:rsid w:val="32E91BA2"/>
    <w:rsid w:val="32EB2E03"/>
    <w:rsid w:val="334E280D"/>
    <w:rsid w:val="36121410"/>
    <w:rsid w:val="3A241712"/>
    <w:rsid w:val="3DE418E4"/>
    <w:rsid w:val="3EC131E1"/>
    <w:rsid w:val="4DED5C5C"/>
    <w:rsid w:val="4ECD1AAE"/>
    <w:rsid w:val="4EFB6C2C"/>
    <w:rsid w:val="520E57E3"/>
    <w:rsid w:val="552D769A"/>
    <w:rsid w:val="62A74353"/>
    <w:rsid w:val="62E10A89"/>
    <w:rsid w:val="67C23DA2"/>
    <w:rsid w:val="6DBB4AE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bidi w:val="0"/>
      <w:jc w:val="both"/>
    </w:pPr>
    <w:rPr>
      <w:rFonts w:asciiTheme="minorHAnsi" w:hAnsiTheme="minorHAnsi" w:eastAsiaTheme="minorEastAsia" w:cstheme="minorBidi"/>
      <w:color w:val="auto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2"/>
      <w:sz w:val="44"/>
      <w:szCs w:val="44"/>
    </w:rPr>
  </w:style>
  <w:style w:type="paragraph" w:styleId="3">
    <w:name w:val="heading 2"/>
    <w:basedOn w:val="1"/>
    <w:next w:val="1"/>
    <w:link w:val="15"/>
    <w:unhideWhenUsed/>
    <w:qFormat/>
    <w:uiPriority w:val="9"/>
    <w:pPr>
      <w:keepNext/>
      <w:keepLines/>
      <w:spacing w:before="260" w:after="260" w:line="415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caption"/>
    <w:basedOn w:val="1"/>
    <w:qFormat/>
    <w:uiPriority w:val="0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5">
    <w:name w:val="Body Text"/>
    <w:basedOn w:val="1"/>
    <w:uiPriority w:val="0"/>
    <w:pPr>
      <w:spacing w:before="0" w:after="140" w:line="276" w:lineRule="auto"/>
    </w:pPr>
  </w:style>
  <w:style w:type="paragraph" w:styleId="6">
    <w:name w:val="footer"/>
    <w:basedOn w:val="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unhideWhenUsed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semiHidden/>
    <w:unhideWhenUsed/>
    <w:uiPriority w:val="39"/>
  </w:style>
  <w:style w:type="paragraph" w:styleId="9">
    <w:name w:val="List"/>
    <w:basedOn w:val="5"/>
    <w:uiPriority w:val="0"/>
    <w:rPr>
      <w:rFonts w:cs="Arial"/>
    </w:rPr>
  </w:style>
  <w:style w:type="paragraph" w:styleId="10">
    <w:name w:val="toc 2"/>
    <w:basedOn w:val="1"/>
    <w:next w:val="1"/>
    <w:unhideWhenUsed/>
    <w:uiPriority w:val="39"/>
    <w:pPr>
      <w:ind w:left="420" w:firstLine="0"/>
    </w:pPr>
  </w:style>
  <w:style w:type="character" w:customStyle="1" w:styleId="13">
    <w:name w:val="页眉 字符"/>
    <w:basedOn w:val="12"/>
    <w:qFormat/>
    <w:uiPriority w:val="99"/>
    <w:rPr>
      <w:sz w:val="18"/>
      <w:szCs w:val="18"/>
    </w:rPr>
  </w:style>
  <w:style w:type="character" w:customStyle="1" w:styleId="14">
    <w:name w:val="页脚 字符"/>
    <w:basedOn w:val="12"/>
    <w:qFormat/>
    <w:uiPriority w:val="99"/>
    <w:rPr>
      <w:sz w:val="18"/>
      <w:szCs w:val="18"/>
    </w:rPr>
  </w:style>
  <w:style w:type="character" w:customStyle="1" w:styleId="15">
    <w:name w:val="标题 2 字符"/>
    <w:basedOn w:val="12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6">
    <w:name w:val="标题 1 字符"/>
    <w:basedOn w:val="12"/>
    <w:link w:val="2"/>
    <w:qFormat/>
    <w:uiPriority w:val="9"/>
    <w:rPr>
      <w:b/>
      <w:bCs/>
      <w:kern w:val="2"/>
      <w:sz w:val="44"/>
      <w:szCs w:val="44"/>
    </w:rPr>
  </w:style>
  <w:style w:type="character" w:customStyle="1" w:styleId="17">
    <w:name w:val="Internet 链接"/>
    <w:basedOn w:val="12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8">
    <w:name w:val="索引链接"/>
    <w:qFormat/>
    <w:uiPriority w:val="0"/>
  </w:style>
  <w:style w:type="paragraph" w:customStyle="1" w:styleId="19">
    <w:name w:val="标题样式"/>
    <w:basedOn w:val="1"/>
    <w:next w:val="5"/>
    <w:qFormat/>
    <w:uiPriority w:val="0"/>
    <w:pPr>
      <w:keepNext/>
      <w:spacing w:before="240" w:after="120"/>
    </w:pPr>
    <w:rPr>
      <w:rFonts w:ascii="Liberation Sans" w:hAnsi="Liberation Sans" w:eastAsia="微软雅黑" w:cs="Arial"/>
      <w:sz w:val="28"/>
      <w:szCs w:val="28"/>
    </w:rPr>
  </w:style>
  <w:style w:type="paragraph" w:customStyle="1" w:styleId="20">
    <w:name w:val="索引"/>
    <w:basedOn w:val="1"/>
    <w:qFormat/>
    <w:uiPriority w:val="0"/>
    <w:pPr>
      <w:suppressLineNumbers/>
    </w:pPr>
    <w:rPr>
      <w:rFonts w:cs="Arial"/>
    </w:rPr>
  </w:style>
  <w:style w:type="paragraph" w:styleId="21">
    <w:name w:val="List Paragraph"/>
    <w:basedOn w:val="1"/>
    <w:qFormat/>
    <w:uiPriority w:val="34"/>
    <w:pPr>
      <w:ind w:firstLine="420"/>
    </w:pPr>
  </w:style>
  <w:style w:type="paragraph" w:customStyle="1" w:styleId="22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5C653E-D7E1-442A-8B2B-4442628FB0C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1727</Words>
  <Characters>1747</Characters>
  <Paragraphs>71</Paragraphs>
  <TotalTime>5</TotalTime>
  <ScaleCrop>false</ScaleCrop>
  <LinksUpToDate>false</LinksUpToDate>
  <CharactersWithSpaces>1791</CharactersWithSpaces>
  <Application>WPS Office_12.1.0.15990_F1E327BC-269C-435d-A152-05C5408002CA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2022-10-07T02:39:00Z</dcterms:created>
  <dc:creator>敬辉</dc:creator>
  <cp:lastModifiedBy>技术支持张工</cp:lastModifiedBy>
  <dcterms:modified xsi:type="dcterms:W3CDTF">2023-11-30T09:07:34Z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KSOProductBuildVer">
    <vt:lpwstr>2052-12.1.0.15990</vt:lpwstr>
  </property>
  <property fmtid="{D5CDD505-2E9C-101B-9397-08002B2CF9AE}" pid="9" name="ICV">
    <vt:lpwstr>FECDDFA4E1F94AE5A0A6D2B0F14DE99B_12</vt:lpwstr>
  </property>
</Properties>
</file>