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97AD0">
      <w:pPr>
        <w:pStyle w:val="4"/>
        <w:spacing w:before="510" w:after="170"/>
      </w:pPr>
      <w:bookmarkStart w:id="0" w:name="_Toc168328199"/>
      <w:r>
        <w:rPr>
          <w:rFonts w:hint="eastAsia"/>
        </w:rPr>
        <w:t>大数据与会计培养方案</w:t>
      </w:r>
      <w:bookmarkEnd w:id="0"/>
    </w:p>
    <w:p w14:paraId="61FEA8D8"/>
    <w:p w14:paraId="2A88045D">
      <w:pPr>
        <w:pStyle w:val="5"/>
      </w:pPr>
      <w:r>
        <w:rPr>
          <w:rFonts w:hint="eastAsia"/>
        </w:rPr>
        <w:t>一、专业基本信息</w:t>
      </w:r>
    </w:p>
    <w:p w14:paraId="63DB39FE">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专业名称：大数据与会计</w:t>
      </w:r>
    </w:p>
    <w:p w14:paraId="59F0A04E">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专业代码：530302</w:t>
      </w:r>
    </w:p>
    <w:p w14:paraId="3F4E6156">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办学层次：高起专</w:t>
      </w:r>
    </w:p>
    <w:p w14:paraId="3F887380">
      <w:pPr>
        <w:autoSpaceDE w:val="0"/>
        <w:autoSpaceDN w:val="0"/>
        <w:adjustRightInd w:val="0"/>
        <w:ind w:firstLine="420" w:firstLineChars="200"/>
        <w:rPr>
          <w:rFonts w:hint="eastAsia" w:ascii="方正书宋_GBK" w:hAnsi="仿宋" w:eastAsia="方正书宋_GBK"/>
          <w:szCs w:val="21"/>
          <w:lang w:eastAsia="zh-CN"/>
        </w:rPr>
      </w:pPr>
      <w:r>
        <w:rPr>
          <w:rFonts w:hint="eastAsia" w:ascii="方正书宋_GBK" w:hAnsi="仿宋" w:eastAsia="方正书宋_GBK"/>
          <w:szCs w:val="21"/>
        </w:rPr>
        <w:t>学习形式：</w:t>
      </w:r>
      <w:r>
        <w:rPr>
          <w:rFonts w:hint="eastAsia" w:ascii="方正书宋_GBK" w:hAnsi="仿宋" w:eastAsia="方正书宋_GBK"/>
          <w:szCs w:val="21"/>
          <w:lang w:eastAsia="zh-CN"/>
        </w:rPr>
        <w:t>非脱产</w:t>
      </w:r>
    </w:p>
    <w:p w14:paraId="035000C5">
      <w:pPr>
        <w:pStyle w:val="5"/>
      </w:pPr>
      <w:r>
        <w:rPr>
          <w:rFonts w:hint="eastAsia"/>
        </w:rPr>
        <w:t>二、培养目标与人才规格</w:t>
      </w:r>
    </w:p>
    <w:p w14:paraId="11DEBF1F">
      <w:pPr>
        <w:pStyle w:val="7"/>
      </w:pPr>
      <w:r>
        <w:rPr>
          <w:rFonts w:hint="eastAsia"/>
        </w:rPr>
        <w:t>（一）培养目标</w:t>
      </w:r>
    </w:p>
    <w:p w14:paraId="0CF92228">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本专业培养德、智、体、美、劳全面发展，服务经济社会发展和国家发展战略需求，努力培养品德优良，身心健康，具有扎实经济管理和财务会计理论与实践知识，具有较强分析和解决会计实务的能力，能够在大数据背景下从事会计核算与管理、审计等工作的应用型人才。</w:t>
      </w:r>
    </w:p>
    <w:p w14:paraId="7619CFAE">
      <w:pPr>
        <w:pStyle w:val="7"/>
      </w:pPr>
      <w:r>
        <w:rPr>
          <w:rFonts w:hint="eastAsia"/>
        </w:rPr>
        <w:t>（二）知识、能力和素质要求</w:t>
      </w:r>
    </w:p>
    <w:p w14:paraId="374D1BD2">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本专业学生系统学习会计理论和方法，接受大数据背景下会计学思维和会计实务训练，能够在大数据背景下具有较好运用会计学理论和会计方法分析解决企事业单位实际会计业务的能力。</w:t>
      </w:r>
    </w:p>
    <w:p w14:paraId="6BA87EB3">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知识要求：熟悉我国相关财经法律法规、方针政策及基本制度，接受较扎实专业理论和专业技能训练，具有较强分析问题和解决问题的能力。</w:t>
      </w:r>
    </w:p>
    <w:p w14:paraId="3F4D4299">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能力要求：具有良好的自学习惯和能力、有较好表达交流能力和一定计算机信息技术应用能力；具有灵活运用所掌握的相关会计理论知识和技能从事会计核算等相关工作的能力。</w:t>
      </w:r>
    </w:p>
    <w:p w14:paraId="2AEEABA3">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素质要求：具备较高思想道德素质、较强团队意识和健全人格；掌握人文社会科学和自然科学基本知识，具有较好人文修养和良好专业素养；具备良好的身心素质：包括健康体魄、良好心理素质和生活习惯。</w:t>
      </w:r>
    </w:p>
    <w:p w14:paraId="78612BA3">
      <w:pPr>
        <w:pStyle w:val="5"/>
      </w:pPr>
      <w:r>
        <w:rPr>
          <w:rFonts w:hint="eastAsia"/>
        </w:rPr>
        <w:t>三、修业年限</w:t>
      </w:r>
    </w:p>
    <w:p w14:paraId="00A29130">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修业年限2.5-5年</w:t>
      </w:r>
    </w:p>
    <w:p w14:paraId="430BEC37">
      <w:pPr>
        <w:pStyle w:val="5"/>
      </w:pPr>
      <w:r>
        <w:rPr>
          <w:rFonts w:hint="eastAsia"/>
        </w:rPr>
        <w:t>四、教学形式</w:t>
      </w:r>
    </w:p>
    <w:p w14:paraId="4B39D724">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“线上+线下”</w:t>
      </w:r>
    </w:p>
    <w:p w14:paraId="3137B149">
      <w:pPr>
        <w:pStyle w:val="5"/>
      </w:pPr>
      <w:r>
        <w:rPr>
          <w:rFonts w:hint="eastAsia"/>
        </w:rPr>
        <w:t>五、课程设置与学时分配</w:t>
      </w:r>
    </w:p>
    <w:p w14:paraId="6637967F">
      <w:pPr>
        <w:ind w:firstLine="420" w:firstLineChars="200"/>
        <w:rPr>
          <w:rFonts w:ascii="方正书宋_GBK" w:hAnsi="仿宋" w:eastAsia="方正书宋_GBK"/>
          <w:szCs w:val="21"/>
          <w14:textFill>
            <w14:gradFill>
              <w14:gsLst>
                <w14:gs w14:pos="0">
                  <w14:srgbClr w14:val="007BD3"/>
                </w14:gs>
                <w14:gs w14:pos="100000">
                  <w14:srgbClr w14:val="034373"/>
                </w14:gs>
              </w14:gsLst>
              <w14:lin w14:ang="0" w14:scaled="0"/>
            </w14:gradFill>
          </w14:textFill>
        </w:rPr>
      </w:pPr>
      <w:r>
        <w:rPr>
          <w:rFonts w:hint="eastAsia" w:ascii="方正书宋_GBK" w:hAnsi="仿宋" w:eastAsia="方正书宋_GBK"/>
          <w:szCs w:val="21"/>
        </w:rPr>
        <w:t>本专业课程共1600学时，100学分。其中公共基础课512学时，计32学分；专业课608学时，计38学分；职业能力拓展课32学时，计2学分；实践课448学时，计28学分。</w:t>
      </w:r>
    </w:p>
    <w:p w14:paraId="4ACF5AA0">
      <w:pPr>
        <w:pStyle w:val="5"/>
      </w:pPr>
      <w:r>
        <w:rPr>
          <w:rFonts w:hint="eastAsia"/>
        </w:rPr>
        <w:t>六、考核与毕业要求</w:t>
      </w:r>
    </w:p>
    <w:p w14:paraId="0AFFA800">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本专业理论课程考核全部采用“过程性考核+终结性考核”的方式。</w:t>
      </w:r>
      <w:r>
        <w:rPr>
          <w:rFonts w:hint="eastAsia" w:ascii="方正书宋_GBK" w:hAnsi="仿宋" w:eastAsia="方正书宋_GBK"/>
          <w:color w:val="000000"/>
          <w:szCs w:val="21"/>
          <w:lang w:val="en-US" w:eastAsia="zh-CN"/>
        </w:rPr>
        <w:t>学生完成培养方案规定的课程和学分要求，考核合格，准予毕业。</w:t>
      </w:r>
    </w:p>
    <w:p w14:paraId="54E3455D">
      <w:pPr>
        <w:ind w:firstLine="420" w:firstLineChars="200"/>
        <w:rPr>
          <w:rFonts w:ascii="方正书宋_GBK" w:hAnsi="仿宋" w:eastAsia="方正书宋_GBK"/>
          <w:szCs w:val="21"/>
        </w:rPr>
      </w:pPr>
      <w:r>
        <w:rPr>
          <w:rFonts w:hint="eastAsia" w:ascii="方正书宋_GBK" w:hAnsi="仿宋" w:eastAsia="方正书宋_GBK"/>
          <w:szCs w:val="21"/>
        </w:rPr>
        <w:t>本专业学生系统学习大数据与会计的相关理论和方法，接受大数据等背景下会计学思维和会计实务的训练，毕业时，要求具备运用会计学理论和方法分析问题、解决问题的能力。</w:t>
      </w:r>
    </w:p>
    <w:p w14:paraId="68A9577C">
      <w:pPr>
        <w:ind w:firstLine="420" w:firstLineChars="200"/>
        <w:rPr>
          <w:rFonts w:ascii="方正书宋_GBK" w:hAnsi="仿宋" w:eastAsia="方正书宋_GBK"/>
          <w:szCs w:val="21"/>
        </w:rPr>
      </w:pPr>
      <w:r>
        <w:rPr>
          <w:rFonts w:hint="eastAsia" w:ascii="方正书宋_GBK" w:hAnsi="仿宋" w:eastAsia="方正书宋_GBK"/>
          <w:szCs w:val="21"/>
        </w:rPr>
        <w:t>1.思想素质：具备较高的思想道德素质，有较强的团队意识和健全的人格。</w:t>
      </w:r>
    </w:p>
    <w:p w14:paraId="3B1F09AF">
      <w:pPr>
        <w:ind w:firstLine="420" w:firstLineChars="200"/>
        <w:rPr>
          <w:rFonts w:ascii="方正书宋_GBK" w:hAnsi="仿宋" w:eastAsia="方正书宋_GBK"/>
          <w:szCs w:val="21"/>
        </w:rPr>
      </w:pPr>
      <w:r>
        <w:rPr>
          <w:rFonts w:hint="eastAsia" w:ascii="方正书宋_GBK" w:hAnsi="仿宋" w:eastAsia="方正书宋_GBK"/>
          <w:szCs w:val="21"/>
        </w:rPr>
        <w:t>2.通识素养：具有数学、英语、人文社会科学和自然科学的基本知识。</w:t>
      </w:r>
    </w:p>
    <w:p w14:paraId="5E4B382B">
      <w:pPr>
        <w:ind w:firstLine="420" w:firstLineChars="200"/>
        <w:rPr>
          <w:rFonts w:ascii="方正书宋_GBK" w:hAnsi="仿宋" w:eastAsia="方正书宋_GBK"/>
          <w:szCs w:val="21"/>
        </w:rPr>
      </w:pPr>
      <w:r>
        <w:rPr>
          <w:rFonts w:hint="eastAsia" w:ascii="方正书宋_GBK" w:hAnsi="仿宋" w:eastAsia="方正书宋_GBK"/>
          <w:szCs w:val="21"/>
        </w:rPr>
        <w:t>3.问题分析：能够应用数学、信息技术、社会科学的基本原理，认识社会生活中的经济管理问题，通过运用大数据分析和解决问题的能力，培养良好的专业素质。</w:t>
      </w:r>
    </w:p>
    <w:p w14:paraId="2C668B0D">
      <w:pPr>
        <w:ind w:firstLine="420" w:firstLineChars="200"/>
        <w:rPr>
          <w:rFonts w:ascii="方正书宋_GBK" w:hAnsi="仿宋" w:eastAsia="方正书宋_GBK"/>
          <w:szCs w:val="21"/>
        </w:rPr>
      </w:pPr>
      <w:r>
        <w:rPr>
          <w:rFonts w:hint="eastAsia" w:ascii="方正书宋_GBK" w:hAnsi="仿宋" w:eastAsia="方正书宋_GBK"/>
          <w:szCs w:val="21"/>
        </w:rPr>
        <w:t>4.专业知识：掌握会计学专业的基本知识，在会计领域具有较好的综合能力和分析解决问题的素养。</w:t>
      </w:r>
    </w:p>
    <w:p w14:paraId="41931FB7">
      <w:pPr>
        <w:ind w:firstLine="420" w:firstLineChars="200"/>
        <w:rPr>
          <w:rFonts w:ascii="方正书宋_GBK" w:hAnsi="仿宋" w:eastAsia="方正书宋_GBK"/>
          <w:szCs w:val="21"/>
        </w:rPr>
      </w:pPr>
      <w:r>
        <w:rPr>
          <w:rFonts w:hint="eastAsia" w:ascii="方正书宋_GBK" w:hAnsi="仿宋" w:eastAsia="方正书宋_GBK"/>
          <w:szCs w:val="21"/>
        </w:rPr>
        <w:t>5.财务决策能力：能够基于本专业知识，进行会计学专业实践实务工作，具有对经济活动的合理性进行分析、评价和审计的能力。</w:t>
      </w:r>
    </w:p>
    <w:p w14:paraId="2FE2FC3C">
      <w:pPr>
        <w:ind w:firstLine="420" w:firstLineChars="200"/>
        <w:rPr>
          <w:rFonts w:ascii="方正书宋_GBK" w:hAnsi="仿宋" w:eastAsia="方正书宋_GBK"/>
          <w:szCs w:val="21"/>
        </w:rPr>
      </w:pPr>
      <w:r>
        <w:rPr>
          <w:rFonts w:hint="eastAsia" w:ascii="方正书宋_GBK" w:hAnsi="仿宋" w:eastAsia="方正书宋_GBK"/>
          <w:szCs w:val="21"/>
        </w:rPr>
        <w:t>6.职业规范：具有人文社会科学素养、社会责任感，能够在实践工作中理解并遵守会计职业道德和规范，履行责任。</w:t>
      </w:r>
    </w:p>
    <w:p w14:paraId="05FB782F">
      <w:pPr>
        <w:ind w:firstLine="420" w:firstLineChars="200"/>
        <w:rPr>
          <w:rFonts w:ascii="方正书宋_GBK" w:hAnsi="仿宋" w:eastAsia="方正书宋_GBK"/>
          <w:szCs w:val="21"/>
        </w:rPr>
      </w:pPr>
      <w:r>
        <w:rPr>
          <w:rFonts w:hint="eastAsia" w:ascii="方正书宋_GBK" w:hAnsi="仿宋" w:eastAsia="方正书宋_GBK"/>
          <w:szCs w:val="21"/>
        </w:rPr>
        <w:t>7.实践能力：具有系统的财务会计实践学习经历，能正确理解企业活动中涉及的会计、财务管理、审计等问题，并作出决策。</w:t>
      </w:r>
    </w:p>
    <w:p w14:paraId="29B961FD">
      <w:pPr>
        <w:ind w:firstLine="420" w:firstLineChars="200"/>
        <w:rPr>
          <w:rFonts w:hint="eastAsia" w:ascii="方正书宋_GBK" w:hAnsi="仿宋" w:eastAsia="方正书宋_GBK"/>
          <w:szCs w:val="21"/>
        </w:rPr>
      </w:pPr>
      <w:r>
        <w:rPr>
          <w:rFonts w:hint="eastAsia" w:ascii="方正书宋_GBK" w:hAnsi="仿宋" w:eastAsia="方正书宋_GBK"/>
          <w:szCs w:val="21"/>
        </w:rPr>
        <w:t>8.终身学习：具有自主学习和终身学习的意识，有不断学习和适应社会发展的能力。</w:t>
      </w:r>
    </w:p>
    <w:p w14:paraId="0718889F">
      <w:pPr>
        <w:pStyle w:val="5"/>
      </w:pPr>
      <w:r>
        <w:rPr>
          <w:rFonts w:hint="eastAsia"/>
        </w:rPr>
        <w:t>七、教学实施保障</w:t>
      </w:r>
    </w:p>
    <w:p w14:paraId="261E8E29">
      <w:pPr>
        <w:pStyle w:val="8"/>
        <w:rPr>
          <w:b/>
        </w:rPr>
      </w:pPr>
      <w:r>
        <w:rPr>
          <w:rFonts w:hint="eastAsia"/>
        </w:rPr>
        <w:t>学校建设了一支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教学资源，能够满足在籍生在线学习需要，并实现招生、教学、考试、学籍、证书、收费等各环节的全流程信息化管理。学校构建了学历继续教育内部质量保证体系，不断加强制度建设，保证流程规范、监管有效。学校保证正常教育教学的稳定经费投入，用于学历继续教育办学经费的比例不低于学历继续教育学费总额的70%。</w:t>
      </w:r>
    </w:p>
    <w:p w14:paraId="0BF471BB">
      <w:pPr>
        <w:pStyle w:val="5"/>
      </w:pPr>
      <w:r>
        <w:rPr>
          <w:rFonts w:hint="eastAsia"/>
        </w:rPr>
        <w:t>八、教学计划进程表</w:t>
      </w:r>
    </w:p>
    <w:p w14:paraId="57252DE1"/>
    <w:p w14:paraId="189ED75C">
      <w:pPr>
        <w:sectPr>
          <w:pgSz w:w="11906" w:h="16838"/>
          <w:pgMar w:top="1814" w:right="1418" w:bottom="1418" w:left="1418" w:header="1134" w:footer="1021" w:gutter="0"/>
          <w:cols w:space="425" w:num="1"/>
          <w:docGrid w:type="linesAndChars" w:linePitch="340" w:charSpace="0"/>
        </w:sectPr>
      </w:pPr>
    </w:p>
    <w:p w14:paraId="2BAA88EE">
      <w:pPr>
        <w:pStyle w:val="9"/>
      </w:pPr>
      <w:r>
        <w:rPr>
          <w:rFonts w:hint="eastAsia"/>
          <w:lang w:bidi="ar"/>
        </w:rPr>
        <w:t>大数据与会计专业教学进程表</w:t>
      </w:r>
    </w:p>
    <w:tbl>
      <w:tblPr>
        <w:tblStyle w:val="2"/>
        <w:tblW w:w="14175" w:type="dxa"/>
        <w:jc w:val="center"/>
        <w:tblLayout w:type="fixed"/>
        <w:tblCellMar>
          <w:top w:w="0" w:type="dxa"/>
          <w:left w:w="0" w:type="dxa"/>
          <w:bottom w:w="0" w:type="dxa"/>
          <w:right w:w="0" w:type="dxa"/>
        </w:tblCellMar>
      </w:tblPr>
      <w:tblGrid>
        <w:gridCol w:w="786"/>
        <w:gridCol w:w="441"/>
        <w:gridCol w:w="1064"/>
        <w:gridCol w:w="2825"/>
        <w:gridCol w:w="634"/>
        <w:gridCol w:w="678"/>
        <w:gridCol w:w="747"/>
        <w:gridCol w:w="772"/>
        <w:gridCol w:w="639"/>
        <w:gridCol w:w="788"/>
        <w:gridCol w:w="777"/>
        <w:gridCol w:w="788"/>
        <w:gridCol w:w="680"/>
        <w:gridCol w:w="709"/>
        <w:gridCol w:w="521"/>
        <w:gridCol w:w="437"/>
        <w:gridCol w:w="469"/>
        <w:gridCol w:w="420"/>
      </w:tblGrid>
      <w:tr w14:paraId="63D0E03C">
        <w:trPr>
          <w:tblHeader/>
          <w:jc w:val="center"/>
        </w:trPr>
        <w:tc>
          <w:tcPr>
            <w:tcW w:w="78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626C11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类别</w:t>
            </w:r>
          </w:p>
        </w:tc>
        <w:tc>
          <w:tcPr>
            <w:tcW w:w="44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1BE746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序号</w:t>
            </w:r>
          </w:p>
        </w:tc>
        <w:tc>
          <w:tcPr>
            <w:tcW w:w="10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B782B84">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课程</w:t>
            </w:r>
          </w:p>
          <w:p w14:paraId="38C6A42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代码</w:t>
            </w:r>
          </w:p>
        </w:tc>
        <w:tc>
          <w:tcPr>
            <w:tcW w:w="28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396E71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课程名称</w:t>
            </w:r>
          </w:p>
        </w:tc>
        <w:tc>
          <w:tcPr>
            <w:tcW w:w="63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6DC2955">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学分</w:t>
            </w:r>
          </w:p>
        </w:tc>
        <w:tc>
          <w:tcPr>
            <w:tcW w:w="67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B31923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总学时</w:t>
            </w:r>
          </w:p>
        </w:tc>
        <w:tc>
          <w:tcPr>
            <w:tcW w:w="5900"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14:paraId="27B0EA0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各学期学时分配</w:t>
            </w:r>
          </w:p>
        </w:tc>
        <w:tc>
          <w:tcPr>
            <w:tcW w:w="1847"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5BF1692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考核方式</w:t>
            </w:r>
          </w:p>
        </w:tc>
      </w:tr>
      <w:tr w14:paraId="436CEA10">
        <w:tblPrEx>
          <w:tblCellMar>
            <w:top w:w="0" w:type="dxa"/>
            <w:left w:w="0" w:type="dxa"/>
            <w:bottom w:w="0" w:type="dxa"/>
            <w:right w:w="0" w:type="dxa"/>
          </w:tblCellMar>
        </w:tblPrEx>
        <w:trPr>
          <w:tblHeader/>
          <w:jc w:val="center"/>
        </w:trPr>
        <w:tc>
          <w:tcPr>
            <w:tcW w:w="7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619086">
            <w:pPr>
              <w:jc w:val="center"/>
              <w:rPr>
                <w:rFonts w:ascii="方正书宋_GBK" w:hAnsi="宋体" w:eastAsia="方正书宋_GBK" w:cs="宋体"/>
                <w:b/>
                <w:bCs/>
                <w:color w:val="000000"/>
                <w:szCs w:val="21"/>
              </w:rPr>
            </w:pPr>
          </w:p>
        </w:tc>
        <w:tc>
          <w:tcPr>
            <w:tcW w:w="44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82CBCD">
            <w:pPr>
              <w:jc w:val="center"/>
              <w:rPr>
                <w:rFonts w:ascii="方正书宋_GBK" w:hAnsi="宋体" w:eastAsia="方正书宋_GBK" w:cs="宋体"/>
                <w:b/>
                <w:bCs/>
                <w:color w:val="000000"/>
                <w:szCs w:val="21"/>
              </w:rPr>
            </w:pPr>
          </w:p>
        </w:tc>
        <w:tc>
          <w:tcPr>
            <w:tcW w:w="10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4C8F64">
            <w:pPr>
              <w:jc w:val="center"/>
              <w:rPr>
                <w:rFonts w:ascii="方正书宋_GBK" w:hAnsi="宋体" w:eastAsia="方正书宋_GBK" w:cs="宋体"/>
                <w:b/>
                <w:bCs/>
                <w:color w:val="000000"/>
                <w:szCs w:val="21"/>
              </w:rPr>
            </w:pPr>
          </w:p>
        </w:tc>
        <w:tc>
          <w:tcPr>
            <w:tcW w:w="2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2278DF">
            <w:pPr>
              <w:jc w:val="center"/>
              <w:rPr>
                <w:rFonts w:ascii="方正书宋_GBK" w:hAnsi="宋体" w:eastAsia="方正书宋_GBK" w:cs="宋体"/>
                <w:b/>
                <w:bCs/>
                <w:color w:val="000000"/>
                <w:szCs w:val="21"/>
              </w:rPr>
            </w:pPr>
          </w:p>
        </w:tc>
        <w:tc>
          <w:tcPr>
            <w:tcW w:w="63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BAED4F">
            <w:pPr>
              <w:jc w:val="center"/>
              <w:rPr>
                <w:rFonts w:ascii="方正书宋_GBK" w:hAnsi="宋体" w:eastAsia="方正书宋_GBK" w:cs="宋体"/>
                <w:b/>
                <w:bCs/>
                <w:color w:val="000000"/>
                <w:szCs w:val="21"/>
              </w:rPr>
            </w:pPr>
          </w:p>
        </w:tc>
        <w:tc>
          <w:tcPr>
            <w:tcW w:w="67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5AB363">
            <w:pPr>
              <w:jc w:val="center"/>
              <w:rPr>
                <w:rFonts w:ascii="方正书宋_GBK" w:hAnsi="宋体" w:eastAsia="方正书宋_GBK" w:cs="宋体"/>
                <w:b/>
                <w:bCs/>
                <w:color w:val="000000"/>
                <w:szCs w:val="21"/>
              </w:rPr>
            </w:pPr>
          </w:p>
        </w:tc>
        <w:tc>
          <w:tcPr>
            <w:tcW w:w="74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F80294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线上</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80C804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63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4570420">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实验</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实训</w:t>
            </w:r>
          </w:p>
        </w:tc>
        <w:tc>
          <w:tcPr>
            <w:tcW w:w="78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8410AE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一</w:t>
            </w:r>
          </w:p>
        </w:tc>
        <w:tc>
          <w:tcPr>
            <w:tcW w:w="77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CE81F7B">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二</w:t>
            </w:r>
          </w:p>
        </w:tc>
        <w:tc>
          <w:tcPr>
            <w:tcW w:w="78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2F4D34E">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三</w:t>
            </w:r>
          </w:p>
        </w:tc>
        <w:tc>
          <w:tcPr>
            <w:tcW w:w="6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66AADB7">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四</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C3D8F50">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五</w:t>
            </w:r>
          </w:p>
        </w:tc>
        <w:tc>
          <w:tcPr>
            <w:tcW w:w="52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EB08E4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过程性考核</w:t>
            </w:r>
          </w:p>
        </w:tc>
        <w:tc>
          <w:tcPr>
            <w:tcW w:w="1326"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478BBC2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终结性考核</w:t>
            </w:r>
          </w:p>
        </w:tc>
      </w:tr>
      <w:tr w14:paraId="7131ED7B">
        <w:tblPrEx>
          <w:tblCellMar>
            <w:top w:w="0" w:type="dxa"/>
            <w:left w:w="0" w:type="dxa"/>
            <w:bottom w:w="0" w:type="dxa"/>
            <w:right w:w="0" w:type="dxa"/>
          </w:tblCellMar>
        </w:tblPrEx>
        <w:trPr>
          <w:tblHeader/>
          <w:jc w:val="center"/>
        </w:trPr>
        <w:tc>
          <w:tcPr>
            <w:tcW w:w="78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5B46D40">
            <w:pPr>
              <w:jc w:val="center"/>
              <w:rPr>
                <w:rFonts w:ascii="方正书宋_GBK" w:hAnsi="宋体" w:eastAsia="方正书宋_GBK" w:cs="宋体"/>
                <w:b/>
                <w:bCs/>
                <w:color w:val="000000"/>
                <w:szCs w:val="21"/>
              </w:rPr>
            </w:pPr>
          </w:p>
        </w:tc>
        <w:tc>
          <w:tcPr>
            <w:tcW w:w="44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39575C9">
            <w:pPr>
              <w:jc w:val="center"/>
              <w:rPr>
                <w:rFonts w:ascii="方正书宋_GBK" w:hAnsi="宋体" w:eastAsia="方正书宋_GBK" w:cs="宋体"/>
                <w:b/>
                <w:bCs/>
                <w:color w:val="000000"/>
                <w:szCs w:val="21"/>
              </w:rPr>
            </w:pPr>
          </w:p>
        </w:tc>
        <w:tc>
          <w:tcPr>
            <w:tcW w:w="106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C57CD53">
            <w:pPr>
              <w:jc w:val="center"/>
              <w:rPr>
                <w:rFonts w:ascii="方正书宋_GBK" w:hAnsi="宋体" w:eastAsia="方正书宋_GBK" w:cs="宋体"/>
                <w:b/>
                <w:bCs/>
                <w:color w:val="000000"/>
                <w:szCs w:val="21"/>
              </w:rPr>
            </w:pPr>
          </w:p>
        </w:tc>
        <w:tc>
          <w:tcPr>
            <w:tcW w:w="282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0F0C0A0">
            <w:pPr>
              <w:jc w:val="center"/>
              <w:rPr>
                <w:rFonts w:ascii="方正书宋_GBK" w:hAnsi="宋体" w:eastAsia="方正书宋_GBK" w:cs="宋体"/>
                <w:b/>
                <w:bCs/>
                <w:color w:val="000000"/>
                <w:szCs w:val="21"/>
              </w:rPr>
            </w:pPr>
          </w:p>
        </w:tc>
        <w:tc>
          <w:tcPr>
            <w:tcW w:w="6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BBF9DA2">
            <w:pPr>
              <w:jc w:val="center"/>
              <w:rPr>
                <w:rFonts w:ascii="方正书宋_GBK" w:hAnsi="宋体" w:eastAsia="方正书宋_GBK" w:cs="宋体"/>
                <w:b/>
                <w:bCs/>
                <w:color w:val="000000"/>
                <w:szCs w:val="21"/>
              </w:rPr>
            </w:pPr>
          </w:p>
        </w:tc>
        <w:tc>
          <w:tcPr>
            <w:tcW w:w="67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CD961F7">
            <w:pPr>
              <w:jc w:val="center"/>
              <w:rPr>
                <w:rFonts w:ascii="方正书宋_GBK" w:hAnsi="宋体" w:eastAsia="方正书宋_GBK" w:cs="宋体"/>
                <w:b/>
                <w:bCs/>
                <w:color w:val="000000"/>
                <w:szCs w:val="21"/>
              </w:rPr>
            </w:pPr>
          </w:p>
        </w:tc>
        <w:tc>
          <w:tcPr>
            <w:tcW w:w="74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557FF47">
            <w:pPr>
              <w:jc w:val="center"/>
              <w:rPr>
                <w:rFonts w:ascii="方正书宋_GBK" w:hAnsi="宋体" w:eastAsia="方正书宋_GBK" w:cs="宋体"/>
                <w:b/>
                <w:bCs/>
                <w:color w:val="000000"/>
                <w:szCs w:val="21"/>
              </w:rPr>
            </w:pPr>
          </w:p>
        </w:tc>
        <w:tc>
          <w:tcPr>
            <w:tcW w:w="77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D4083EF">
            <w:pPr>
              <w:jc w:val="center"/>
              <w:rPr>
                <w:rFonts w:ascii="方正书宋_GBK" w:hAnsi="宋体" w:eastAsia="方正书宋_GBK" w:cs="宋体"/>
                <w:b/>
                <w:bCs/>
                <w:color w:val="000000"/>
                <w:szCs w:val="21"/>
              </w:rPr>
            </w:pPr>
          </w:p>
        </w:tc>
        <w:tc>
          <w:tcPr>
            <w:tcW w:w="63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A3CFDEF">
            <w:pPr>
              <w:jc w:val="center"/>
              <w:rPr>
                <w:rFonts w:ascii="方正书宋_GBK" w:hAnsi="宋体" w:eastAsia="方正书宋_GBK" w:cs="宋体"/>
                <w:b/>
                <w:bCs/>
                <w:color w:val="000000"/>
                <w:szCs w:val="21"/>
              </w:rPr>
            </w:pPr>
          </w:p>
        </w:tc>
        <w:tc>
          <w:tcPr>
            <w:tcW w:w="78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1AEDB73">
            <w:pPr>
              <w:jc w:val="center"/>
              <w:rPr>
                <w:rFonts w:ascii="方正书宋_GBK" w:hAnsi="宋体" w:eastAsia="方正书宋_GBK" w:cs="宋体"/>
                <w:b/>
                <w:bCs/>
                <w:color w:val="000000"/>
                <w:szCs w:val="21"/>
              </w:rPr>
            </w:pPr>
          </w:p>
        </w:tc>
        <w:tc>
          <w:tcPr>
            <w:tcW w:w="77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9A25EAF">
            <w:pPr>
              <w:jc w:val="center"/>
              <w:rPr>
                <w:rFonts w:ascii="方正书宋_GBK" w:hAnsi="宋体" w:eastAsia="方正书宋_GBK" w:cs="宋体"/>
                <w:b/>
                <w:bCs/>
                <w:color w:val="000000"/>
                <w:szCs w:val="21"/>
              </w:rPr>
            </w:pPr>
          </w:p>
        </w:tc>
        <w:tc>
          <w:tcPr>
            <w:tcW w:w="78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9FAB16D">
            <w:pPr>
              <w:jc w:val="center"/>
              <w:rPr>
                <w:rFonts w:ascii="方正书宋_GBK" w:hAnsi="宋体" w:eastAsia="方正书宋_GBK" w:cs="宋体"/>
                <w:b/>
                <w:bCs/>
                <w:color w:val="000000"/>
                <w:szCs w:val="21"/>
              </w:rPr>
            </w:pPr>
          </w:p>
        </w:tc>
        <w:tc>
          <w:tcPr>
            <w:tcW w:w="68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3538D62">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B2CF3DB">
            <w:pPr>
              <w:jc w:val="center"/>
              <w:rPr>
                <w:rFonts w:ascii="方正书宋_GBK" w:hAnsi="宋体" w:eastAsia="方正书宋_GBK" w:cs="宋体"/>
                <w:b/>
                <w:bCs/>
                <w:color w:val="000000"/>
                <w:szCs w:val="21"/>
              </w:rPr>
            </w:pPr>
          </w:p>
        </w:tc>
        <w:tc>
          <w:tcPr>
            <w:tcW w:w="52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5F68025">
            <w:pPr>
              <w:jc w:val="center"/>
              <w:rPr>
                <w:rFonts w:ascii="方正书宋_GBK" w:hAnsi="宋体" w:eastAsia="方正书宋_GBK" w:cs="宋体"/>
                <w:b/>
                <w:bCs/>
                <w:color w:val="000000"/>
                <w:szCs w:val="21"/>
              </w:rPr>
            </w:pPr>
          </w:p>
        </w:tc>
        <w:tc>
          <w:tcPr>
            <w:tcW w:w="437" w:type="dxa"/>
            <w:tcBorders>
              <w:top w:val="single" w:color="auto" w:sz="4" w:space="0"/>
              <w:left w:val="single" w:color="000000" w:sz="4" w:space="0"/>
              <w:bottom w:val="single" w:color="000000" w:sz="4" w:space="0"/>
              <w:right w:val="single" w:color="000000" w:sz="4" w:space="0"/>
            </w:tcBorders>
            <w:shd w:val="clear" w:color="auto" w:fill="auto"/>
            <w:vAlign w:val="center"/>
          </w:tcPr>
          <w:p w14:paraId="10C5EA1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闭卷</w:t>
            </w:r>
          </w:p>
        </w:tc>
        <w:tc>
          <w:tcPr>
            <w:tcW w:w="469" w:type="dxa"/>
            <w:tcBorders>
              <w:top w:val="single" w:color="auto" w:sz="4" w:space="0"/>
              <w:left w:val="single" w:color="000000" w:sz="4" w:space="0"/>
              <w:bottom w:val="single" w:color="000000" w:sz="4" w:space="0"/>
              <w:right w:val="single" w:color="000000" w:sz="4" w:space="0"/>
            </w:tcBorders>
            <w:shd w:val="clear" w:color="auto" w:fill="auto"/>
            <w:vAlign w:val="center"/>
          </w:tcPr>
          <w:p w14:paraId="00B2EB32">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开卷</w:t>
            </w:r>
          </w:p>
        </w:tc>
        <w:tc>
          <w:tcPr>
            <w:tcW w:w="420" w:type="dxa"/>
            <w:tcBorders>
              <w:top w:val="single" w:color="auto" w:sz="4" w:space="0"/>
              <w:left w:val="single" w:color="000000" w:sz="4" w:space="0"/>
              <w:bottom w:val="single" w:color="000000" w:sz="4" w:space="0"/>
              <w:right w:val="single" w:color="000000" w:sz="4" w:space="0"/>
            </w:tcBorders>
            <w:shd w:val="clear" w:color="auto" w:fill="auto"/>
            <w:vAlign w:val="center"/>
          </w:tcPr>
          <w:p w14:paraId="40629844">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考查</w:t>
            </w:r>
          </w:p>
        </w:tc>
      </w:tr>
      <w:tr w14:paraId="0D3DE3B6">
        <w:tblPrEx>
          <w:tblCellMar>
            <w:top w:w="0" w:type="dxa"/>
            <w:left w:w="0" w:type="dxa"/>
            <w:bottom w:w="0" w:type="dxa"/>
            <w:right w:w="0" w:type="dxa"/>
          </w:tblCellMar>
        </w:tblPrEx>
        <w:trPr>
          <w:jc w:val="center"/>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2D88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公共基础课</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72A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C20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GG231001</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BAB0">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思想道德与法治</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831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EBE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476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4C3D">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211F">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165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FFAE">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B534">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2EBF">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3069">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12D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16D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41DC">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8AFF">
            <w:pPr>
              <w:jc w:val="center"/>
              <w:rPr>
                <w:rFonts w:ascii="方正书宋_GBK" w:hAnsi="宋体" w:eastAsia="方正书宋_GBK" w:cs="宋体"/>
                <w:color w:val="000000"/>
                <w:szCs w:val="21"/>
              </w:rPr>
            </w:pPr>
          </w:p>
        </w:tc>
      </w:tr>
      <w:tr w14:paraId="3328B61E">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F5EE3">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6E7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5947">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GG251002</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FEF8">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毛泽东思想和中国特色社会主义理论体系概论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C8B6">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A5A4">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64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4331">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64</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0EE9">
            <w:pPr>
              <w:widowControl/>
              <w:spacing w:before="17" w:beforeLines="5" w:after="17" w:afterLines="5"/>
              <w:jc w:val="center"/>
              <w:textAlignment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EA99">
            <w:pPr>
              <w:widowControl/>
              <w:spacing w:before="17" w:beforeLines="5" w:after="17" w:afterLines="5"/>
              <w:jc w:val="center"/>
              <w:textAlignment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E79C">
            <w:pPr>
              <w:widowControl/>
              <w:spacing w:before="17" w:beforeLines="5" w:after="17" w:afterLines="5"/>
              <w:jc w:val="center"/>
              <w:textAlignment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4661">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64</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B06F">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BBA3">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47BF">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451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379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78DD">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7048">
            <w:pPr>
              <w:jc w:val="center"/>
              <w:rPr>
                <w:rFonts w:ascii="方正书宋_GBK" w:hAnsi="宋体" w:eastAsia="方正书宋_GBK" w:cs="宋体"/>
                <w:color w:val="000000"/>
                <w:szCs w:val="21"/>
              </w:rPr>
            </w:pPr>
          </w:p>
        </w:tc>
      </w:tr>
      <w:tr w14:paraId="27E1F70A">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C19F0">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D21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64A3">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b w:val="0"/>
                <w:i w:val="0"/>
                <w:color w:val="000000"/>
                <w:kern w:val="0"/>
                <w:szCs w:val="21"/>
                <w:lang w:bidi="ar"/>
              </w:rPr>
              <w:t>XS2</w:t>
            </w:r>
            <w:r>
              <w:rPr>
                <w:rFonts w:hint="eastAsia" w:ascii="方正书宋_GBK" w:hAnsi="宋体" w:eastAsia="方正书宋_GBK" w:cs="宋体"/>
                <w:b w:val="0"/>
                <w:i w:val="0"/>
                <w:color w:val="000000"/>
                <w:kern w:val="0"/>
                <w:szCs w:val="21"/>
                <w:lang w:val="en-US" w:eastAsia="zh-CN" w:bidi="ar"/>
              </w:rPr>
              <w:t>6</w:t>
            </w:r>
            <w:r>
              <w:rPr>
                <w:rFonts w:hint="eastAsia" w:ascii="方正书宋_GBK" w:hAnsi="宋体" w:eastAsia="方正书宋_GBK" w:cs="宋体"/>
                <w:b w:val="0"/>
                <w:i w:val="0"/>
                <w:color w:val="000000"/>
                <w:kern w:val="0"/>
                <w:szCs w:val="21"/>
                <w:lang w:bidi="ar"/>
              </w:rPr>
              <w:t>1001</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C25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形势与政策1</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612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506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C8C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C60A">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4DDC">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B02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BB79">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A57A">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8376">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5B0A">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BC1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1AF3">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C267">
            <w:pPr>
              <w:widowControl/>
              <w:jc w:val="center"/>
              <w:textAlignment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E4CF">
            <w:pPr>
              <w:jc w:val="center"/>
              <w:rPr>
                <w:rFonts w:ascii="方正书宋_GBK" w:hAnsi="宋体" w:eastAsia="方正书宋_GBK" w:cs="宋体"/>
                <w:color w:val="000000"/>
                <w:szCs w:val="21"/>
              </w:rPr>
            </w:pPr>
          </w:p>
        </w:tc>
      </w:tr>
      <w:tr w14:paraId="64A3F5EC">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87FE1">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79F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E395">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b w:val="0"/>
                <w:i w:val="0"/>
                <w:color w:val="000000"/>
                <w:kern w:val="0"/>
                <w:szCs w:val="21"/>
                <w:lang w:bidi="ar"/>
              </w:rPr>
              <w:t>XS2</w:t>
            </w:r>
            <w:r>
              <w:rPr>
                <w:rFonts w:hint="eastAsia" w:ascii="方正书宋_GBK" w:hAnsi="宋体" w:eastAsia="方正书宋_GBK" w:cs="宋体"/>
                <w:b w:val="0"/>
                <w:i w:val="0"/>
                <w:color w:val="000000"/>
                <w:kern w:val="0"/>
                <w:szCs w:val="21"/>
                <w:lang w:val="en-US" w:eastAsia="zh-CN" w:bidi="ar"/>
              </w:rPr>
              <w:t>6</w:t>
            </w:r>
            <w:r>
              <w:rPr>
                <w:rFonts w:hint="eastAsia" w:ascii="方正书宋_GBK" w:hAnsi="宋体" w:eastAsia="方正书宋_GBK" w:cs="宋体"/>
                <w:b w:val="0"/>
                <w:i w:val="0"/>
                <w:color w:val="000000"/>
                <w:kern w:val="0"/>
                <w:szCs w:val="21"/>
                <w:lang w:bidi="ar"/>
              </w:rPr>
              <w:t>1002</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FC28">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形势与政策2</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2F5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5D0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1DA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DEB3">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9E34">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6C13">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A90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1A6B">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3632">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D6EC">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FD8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8DDB">
            <w:pPr>
              <w:widowControl/>
              <w:jc w:val="center"/>
              <w:textAlignment w:val="center"/>
              <w:rPr>
                <w:rFonts w:ascii="方正书宋_GBK" w:hAnsi="Arial" w:eastAsia="方正书宋_GBK" w:cs="Arial"/>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02B5">
            <w:pPr>
              <w:widowControl/>
              <w:jc w:val="center"/>
              <w:textAlignment w:val="center"/>
              <w:rPr>
                <w:rFonts w:ascii="方正书宋_GBK" w:hAnsi="Arial" w:eastAsia="方正书宋_GBK" w:cs="Arial"/>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23B8">
            <w:pPr>
              <w:jc w:val="center"/>
              <w:rPr>
                <w:rFonts w:ascii="方正书宋_GBK" w:hAnsi="Arial" w:eastAsia="方正书宋_GBK" w:cs="Arial"/>
                <w:color w:val="000000"/>
                <w:kern w:val="0"/>
                <w:szCs w:val="21"/>
                <w:lang w:bidi="ar"/>
              </w:rPr>
            </w:pPr>
          </w:p>
        </w:tc>
      </w:tr>
      <w:tr w14:paraId="22F077F1">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F0C9E">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4AB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C518">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b w:val="0"/>
                <w:i w:val="0"/>
                <w:color w:val="000000"/>
                <w:kern w:val="0"/>
                <w:szCs w:val="21"/>
                <w:lang w:bidi="ar"/>
              </w:rPr>
              <w:t>XS2</w:t>
            </w:r>
            <w:r>
              <w:rPr>
                <w:rFonts w:hint="eastAsia" w:ascii="方正书宋_GBK" w:hAnsi="宋体" w:eastAsia="方正书宋_GBK" w:cs="宋体"/>
                <w:b w:val="0"/>
                <w:i w:val="0"/>
                <w:color w:val="000000"/>
                <w:kern w:val="0"/>
                <w:szCs w:val="21"/>
                <w:lang w:val="en-US" w:eastAsia="zh-CN" w:bidi="ar"/>
              </w:rPr>
              <w:t>6</w:t>
            </w:r>
            <w:r>
              <w:rPr>
                <w:rFonts w:hint="eastAsia" w:ascii="方正书宋_GBK" w:hAnsi="宋体" w:eastAsia="方正书宋_GBK" w:cs="宋体"/>
                <w:b w:val="0"/>
                <w:i w:val="0"/>
                <w:color w:val="000000"/>
                <w:kern w:val="0"/>
                <w:szCs w:val="21"/>
                <w:lang w:bidi="ar"/>
              </w:rPr>
              <w:t>1003</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8F0C">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形势与政策3</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138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94D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15D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3B9E">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2679">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E708">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539D">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25A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760C">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76C1">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68C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362D">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5FFF">
            <w:pPr>
              <w:widowControl/>
              <w:jc w:val="center"/>
              <w:textAlignment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DFD6">
            <w:pPr>
              <w:jc w:val="center"/>
              <w:rPr>
                <w:rFonts w:ascii="方正书宋_GBK" w:hAnsi="宋体" w:eastAsia="方正书宋_GBK" w:cs="宋体"/>
                <w:color w:val="000000"/>
                <w:szCs w:val="21"/>
              </w:rPr>
            </w:pPr>
          </w:p>
        </w:tc>
      </w:tr>
      <w:tr w14:paraId="1E9F60B9">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3425B">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27E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1E3C">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b w:val="0"/>
                <w:i w:val="0"/>
                <w:color w:val="000000"/>
                <w:kern w:val="0"/>
                <w:szCs w:val="21"/>
                <w:lang w:bidi="ar"/>
              </w:rPr>
              <w:t>XS2</w:t>
            </w:r>
            <w:r>
              <w:rPr>
                <w:rFonts w:hint="eastAsia" w:ascii="方正书宋_GBK" w:hAnsi="宋体" w:eastAsia="方正书宋_GBK" w:cs="宋体"/>
                <w:b w:val="0"/>
                <w:i w:val="0"/>
                <w:color w:val="000000"/>
                <w:kern w:val="0"/>
                <w:szCs w:val="21"/>
                <w:lang w:val="en-US" w:eastAsia="zh-CN" w:bidi="ar"/>
              </w:rPr>
              <w:t>6</w:t>
            </w:r>
            <w:r>
              <w:rPr>
                <w:rFonts w:hint="eastAsia" w:ascii="方正书宋_GBK" w:hAnsi="宋体" w:eastAsia="方正书宋_GBK" w:cs="宋体"/>
                <w:b w:val="0"/>
                <w:i w:val="0"/>
                <w:color w:val="000000"/>
                <w:kern w:val="0"/>
                <w:szCs w:val="21"/>
                <w:lang w:bidi="ar"/>
              </w:rPr>
              <w:t>1004</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7167">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形势与政策4</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6E7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9B7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94B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9DD5">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B09E">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4EF8">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EDB3">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CFA8">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0F5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FADD">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62B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AE10">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AC5B">
            <w:pPr>
              <w:widowControl/>
              <w:jc w:val="center"/>
              <w:textAlignment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B712">
            <w:pPr>
              <w:jc w:val="center"/>
              <w:rPr>
                <w:rFonts w:ascii="方正书宋_GBK" w:hAnsi="宋体" w:eastAsia="方正书宋_GBK" w:cs="宋体"/>
                <w:color w:val="000000"/>
                <w:szCs w:val="21"/>
              </w:rPr>
            </w:pPr>
          </w:p>
        </w:tc>
      </w:tr>
      <w:tr w14:paraId="3A5DB163">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4354">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443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7</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F19F">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b w:val="0"/>
                <w:i w:val="0"/>
                <w:color w:val="000000"/>
                <w:kern w:val="0"/>
                <w:szCs w:val="21"/>
                <w:lang w:bidi="ar"/>
              </w:rPr>
              <w:t>XS2</w:t>
            </w:r>
            <w:r>
              <w:rPr>
                <w:rFonts w:hint="eastAsia" w:ascii="方正书宋_GBK" w:hAnsi="宋体" w:eastAsia="方正书宋_GBK" w:cs="宋体"/>
                <w:b w:val="0"/>
                <w:i w:val="0"/>
                <w:color w:val="000000"/>
                <w:kern w:val="0"/>
                <w:szCs w:val="21"/>
                <w:lang w:val="en-US" w:eastAsia="zh-CN" w:bidi="ar"/>
              </w:rPr>
              <w:t>6</w:t>
            </w:r>
            <w:r>
              <w:rPr>
                <w:rFonts w:hint="eastAsia" w:ascii="方正书宋_GBK" w:hAnsi="宋体" w:eastAsia="方正书宋_GBK" w:cs="宋体"/>
                <w:b w:val="0"/>
                <w:i w:val="0"/>
                <w:color w:val="000000"/>
                <w:kern w:val="0"/>
                <w:szCs w:val="21"/>
                <w:lang w:bidi="ar"/>
              </w:rPr>
              <w:t>1005</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2EC1">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形势与政策5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26A6">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0.2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8D5F">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7749">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C867">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23DF">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40B3">
            <w:pPr>
              <w:jc w:val="center"/>
              <w:rPr>
                <w:rFonts w:ascii="方正书宋_GBK" w:hAnsi="宋体" w:eastAsia="方正书宋_GBK" w:cs="宋体"/>
                <w:color w:val="000000"/>
                <w:kern w:val="0"/>
                <w:szCs w:val="21"/>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4D9B">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D65F">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2C11">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57B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C04C">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6827">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4DE3">
            <w:pPr>
              <w:widowControl/>
              <w:jc w:val="center"/>
              <w:textAlignment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D2D8">
            <w:pPr>
              <w:jc w:val="center"/>
              <w:rPr>
                <w:rFonts w:ascii="方正书宋_GBK" w:hAnsi="宋体" w:eastAsia="方正书宋_GBK" w:cs="宋体"/>
                <w:color w:val="000000"/>
                <w:szCs w:val="21"/>
              </w:rPr>
            </w:pPr>
          </w:p>
        </w:tc>
      </w:tr>
      <w:tr w14:paraId="42A4CDA8">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D66B6">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992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1F73">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GG231007</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377C">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英语A1</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CCA0">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D946">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310F">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AB6C">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9F85">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ACE0">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AA1A">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3E0F">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AB5E">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5A0F">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79A7">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ACA2">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43A7">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A7A6">
            <w:pPr>
              <w:jc w:val="center"/>
              <w:rPr>
                <w:rFonts w:ascii="方正书宋_GBK" w:hAnsi="宋体" w:eastAsia="方正书宋_GBK" w:cs="宋体"/>
                <w:color w:val="000000"/>
                <w:szCs w:val="21"/>
              </w:rPr>
            </w:pPr>
          </w:p>
        </w:tc>
      </w:tr>
      <w:tr w14:paraId="5C8CCFFD">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F29EF">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47BD">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9</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7F78">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GG231008</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5B70">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英语A2</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8F35">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02B1">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06AF">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7BC4">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09BE">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234D">
            <w:pPr>
              <w:jc w:val="center"/>
              <w:rPr>
                <w:rFonts w:ascii="方正书宋_GBK" w:hAnsi="宋体" w:eastAsia="方正书宋_GBK" w:cs="宋体"/>
                <w:color w:val="000000"/>
                <w:kern w:val="0"/>
                <w:szCs w:val="21"/>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C60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CF72">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D723">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AC8C">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1E15">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B775">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C642">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FCFC">
            <w:pPr>
              <w:jc w:val="center"/>
              <w:rPr>
                <w:rFonts w:ascii="方正书宋_GBK" w:hAnsi="宋体" w:eastAsia="方正书宋_GBK" w:cs="宋体"/>
                <w:color w:val="000000"/>
                <w:szCs w:val="21"/>
              </w:rPr>
            </w:pPr>
          </w:p>
        </w:tc>
      </w:tr>
      <w:tr w14:paraId="080C517C">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C057C">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0EC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87FE">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GG251015</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993A">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习近平新时代中国特色社会主义思想概论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56A4">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60ED">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B341">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9BBD">
            <w:pPr>
              <w:widowControl/>
              <w:spacing w:before="17" w:beforeLines="5" w:after="17" w:afterLines="5"/>
              <w:jc w:val="center"/>
              <w:textAlignment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3CCF">
            <w:pPr>
              <w:widowControl/>
              <w:spacing w:before="17" w:beforeLines="5" w:after="17" w:afterLines="5"/>
              <w:jc w:val="center"/>
              <w:textAlignment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A326">
            <w:pPr>
              <w:widowControl/>
              <w:spacing w:before="17" w:beforeLines="5" w:after="17" w:afterLines="5"/>
              <w:jc w:val="center"/>
              <w:textAlignment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5336">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48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21CE">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8827">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6027">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17C8">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285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734C">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6B11">
            <w:pPr>
              <w:jc w:val="center"/>
              <w:rPr>
                <w:rFonts w:ascii="方正书宋_GBK" w:hAnsi="宋体" w:eastAsia="方正书宋_GBK" w:cs="宋体"/>
                <w:color w:val="000000"/>
                <w:szCs w:val="21"/>
              </w:rPr>
            </w:pPr>
          </w:p>
        </w:tc>
      </w:tr>
      <w:tr w14:paraId="0D32EC3E">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87235">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01E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BD2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GG231010</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0445">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计算机文化基础</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670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4C1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E05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3925">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1445">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A85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8658">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BFE7">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ED3E">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7DED">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DBC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F119">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450B">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C834">
            <w:pPr>
              <w:jc w:val="center"/>
              <w:rPr>
                <w:rFonts w:ascii="方正书宋_GBK" w:hAnsi="宋体" w:eastAsia="方正书宋_GBK" w:cs="宋体"/>
                <w:color w:val="000000"/>
                <w:szCs w:val="21"/>
              </w:rPr>
            </w:pPr>
          </w:p>
        </w:tc>
      </w:tr>
      <w:tr w14:paraId="01885AC7">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EFC8C">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E5F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D0C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GG231011</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DF2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高等数学1</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E15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03F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A35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B493">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2664">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53D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5339">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3DB9">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E01E">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F5FE">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A0B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E2E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51AE">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59E8">
            <w:pPr>
              <w:jc w:val="center"/>
              <w:rPr>
                <w:rFonts w:ascii="方正书宋_GBK" w:hAnsi="宋体" w:eastAsia="方正书宋_GBK" w:cs="宋体"/>
                <w:color w:val="000000"/>
                <w:szCs w:val="21"/>
              </w:rPr>
            </w:pPr>
          </w:p>
        </w:tc>
      </w:tr>
      <w:tr w14:paraId="5C6D167E">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BBD8">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3BB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13</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240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GG231012</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C805">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高等数学2</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1C5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143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51C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DC78">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FEAF">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0159">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B50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CC52">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3355">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97BD">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FAF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1A8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C2B2">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72D4">
            <w:pPr>
              <w:jc w:val="center"/>
              <w:rPr>
                <w:rFonts w:ascii="方正书宋_GBK" w:hAnsi="宋体" w:eastAsia="方正书宋_GBK" w:cs="宋体"/>
                <w:color w:val="000000"/>
                <w:szCs w:val="21"/>
              </w:rPr>
            </w:pPr>
          </w:p>
        </w:tc>
      </w:tr>
      <w:tr w14:paraId="12913EC8">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075C6">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754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305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GG231013</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28CC">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线性代数和概率统计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AC1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DBC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ED9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B58B">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068D">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BADB">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004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0133">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91C7">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2E63">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A7C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9B5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5180">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580B">
            <w:pPr>
              <w:jc w:val="center"/>
              <w:rPr>
                <w:rFonts w:ascii="方正书宋_GBK" w:hAnsi="宋体" w:eastAsia="方正书宋_GBK" w:cs="宋体"/>
                <w:color w:val="000000"/>
                <w:szCs w:val="21"/>
              </w:rPr>
            </w:pPr>
          </w:p>
        </w:tc>
      </w:tr>
      <w:tr w14:paraId="4BC24380">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01B3">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149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1D3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GG241017</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BEBD">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心理健康教育</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078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A41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AB0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4B8F">
            <w:pPr>
              <w:jc w:val="center"/>
              <w:rPr>
                <w:rFonts w:ascii="方正书宋_GBK" w:hAnsi="宋体" w:eastAsia="方正书宋_GBK" w:cs="宋体"/>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9E12">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040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F255">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5658">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A0FE">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F84B">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F6E6">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186C">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6F1F">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944F">
            <w:pPr>
              <w:jc w:val="center"/>
              <w:rPr>
                <w:rFonts w:ascii="方正书宋_GBK" w:hAnsi="宋体" w:eastAsia="方正书宋_GBK" w:cs="宋体"/>
                <w:szCs w:val="21"/>
              </w:rPr>
            </w:pPr>
          </w:p>
        </w:tc>
      </w:tr>
      <w:tr w14:paraId="177720A1">
        <w:tblPrEx>
          <w:tblCellMar>
            <w:top w:w="0" w:type="dxa"/>
            <w:left w:w="0" w:type="dxa"/>
            <w:bottom w:w="0" w:type="dxa"/>
            <w:right w:w="0" w:type="dxa"/>
          </w:tblCellMar>
        </w:tblPrEx>
        <w:trPr>
          <w:jc w:val="center"/>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90920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专业课</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B5B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DAA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JG241042</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0D50">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会计学原理</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03C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C76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75B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511D">
            <w:pPr>
              <w:jc w:val="center"/>
              <w:rPr>
                <w:rFonts w:ascii="方正书宋_GBK" w:hAnsi="宋体" w:eastAsia="方正书宋_GBK" w:cs="宋体"/>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2179">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4701">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79E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0D9A">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966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5720">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A722">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FFDF">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F3C1">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F208">
            <w:pPr>
              <w:jc w:val="center"/>
              <w:rPr>
                <w:rFonts w:ascii="方正书宋_GBK" w:hAnsi="宋体" w:eastAsia="方正书宋_GBK" w:cs="宋体"/>
                <w:szCs w:val="21"/>
              </w:rPr>
            </w:pPr>
          </w:p>
        </w:tc>
      </w:tr>
      <w:tr w14:paraId="257AD54F">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58BE">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520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17</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D54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JG241043</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9596">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财务会计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E51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8CB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8FB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FFE7">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5C5A">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D643">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1FC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BDF6">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D924">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7A92">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7028">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906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AC84">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40EB">
            <w:pPr>
              <w:jc w:val="center"/>
              <w:rPr>
                <w:rFonts w:ascii="方正书宋_GBK" w:hAnsi="宋体" w:eastAsia="方正书宋_GBK" w:cs="宋体"/>
                <w:color w:val="000000"/>
                <w:szCs w:val="21"/>
              </w:rPr>
            </w:pPr>
          </w:p>
        </w:tc>
      </w:tr>
      <w:tr w14:paraId="5D309CCE">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BE0D">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5EA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18</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D8D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JG231044</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F58D">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管理学原理</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2E5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631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282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4D5F">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D2E3">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59C7">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E0C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DF63">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00F8">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5E56">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915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D3A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5D33">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FC49">
            <w:pPr>
              <w:jc w:val="center"/>
              <w:rPr>
                <w:rFonts w:ascii="方正书宋_GBK" w:hAnsi="宋体" w:eastAsia="方正书宋_GBK" w:cs="宋体"/>
                <w:color w:val="000000"/>
                <w:szCs w:val="21"/>
              </w:rPr>
            </w:pPr>
          </w:p>
        </w:tc>
      </w:tr>
      <w:tr w14:paraId="176163F0">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802A">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E7D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19</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BCA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JG241045</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9542">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成本会计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206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49E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C89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A1E1">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47C0">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132C">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7C4E">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10C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02E8">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3133">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E7F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D99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D316">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BF23">
            <w:pPr>
              <w:jc w:val="center"/>
              <w:rPr>
                <w:rFonts w:ascii="方正书宋_GBK" w:hAnsi="宋体" w:eastAsia="方正书宋_GBK" w:cs="宋体"/>
                <w:color w:val="000000"/>
                <w:szCs w:val="21"/>
              </w:rPr>
            </w:pPr>
          </w:p>
        </w:tc>
      </w:tr>
      <w:tr w14:paraId="0A1CB5B1">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2CAE">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607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900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JG231046</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06CE">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会计信息化</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DA9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4B2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969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14E5">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4B6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7EEC">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911C">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139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970C">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3DC2">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8AA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8F6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DAA4">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0F53">
            <w:pPr>
              <w:jc w:val="center"/>
              <w:rPr>
                <w:rFonts w:ascii="方正书宋_GBK" w:hAnsi="宋体" w:eastAsia="方正书宋_GBK" w:cs="宋体"/>
                <w:color w:val="000000"/>
                <w:szCs w:val="21"/>
              </w:rPr>
            </w:pPr>
          </w:p>
        </w:tc>
      </w:tr>
      <w:tr w14:paraId="5C21FB61">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E7B86">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188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4BB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JG241027</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6F8A">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税法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F72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13B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952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47C1">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AD38">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490F">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F85F">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185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A304">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654B">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683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E13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A937">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6677">
            <w:pPr>
              <w:jc w:val="center"/>
              <w:rPr>
                <w:rFonts w:ascii="方正书宋_GBK" w:hAnsi="宋体" w:eastAsia="方正书宋_GBK" w:cs="宋体"/>
                <w:color w:val="000000"/>
                <w:szCs w:val="21"/>
              </w:rPr>
            </w:pPr>
          </w:p>
        </w:tc>
      </w:tr>
      <w:tr w14:paraId="7FE5A4BA">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CDA7">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DBA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718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JG241047</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BC9F">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财务管理</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012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855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7A0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24A7">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3AB8">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7E57">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F0F9">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C80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D868">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BC13">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BED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B8E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EA99">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F0E6">
            <w:pPr>
              <w:jc w:val="center"/>
              <w:rPr>
                <w:rFonts w:ascii="方正书宋_GBK" w:hAnsi="宋体" w:eastAsia="方正书宋_GBK" w:cs="宋体"/>
                <w:color w:val="000000"/>
                <w:szCs w:val="21"/>
              </w:rPr>
            </w:pPr>
          </w:p>
        </w:tc>
      </w:tr>
      <w:tr w14:paraId="3A0F2B7C">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A01D">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334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23</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6C5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JG231048</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C2E5">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内部控制</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D7E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718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B1E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4A89">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0B08">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4435">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12DE">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A2A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E2D0">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9AF0">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E6A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3AA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01FD">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AFAC">
            <w:pPr>
              <w:jc w:val="center"/>
              <w:rPr>
                <w:rFonts w:ascii="方正书宋_GBK" w:hAnsi="宋体" w:eastAsia="方正书宋_GBK" w:cs="宋体"/>
                <w:color w:val="000000"/>
                <w:szCs w:val="21"/>
              </w:rPr>
            </w:pPr>
          </w:p>
        </w:tc>
      </w:tr>
      <w:tr w14:paraId="64582805">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F395">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1DE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953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JG241012</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C21C">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管理会计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2ED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2C6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439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CE15">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917E">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C45C">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1A6C">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EFC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D134">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0C77">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006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BDE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036E">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9A54">
            <w:pPr>
              <w:jc w:val="center"/>
              <w:rPr>
                <w:rFonts w:ascii="方正书宋_GBK" w:hAnsi="宋体" w:eastAsia="方正书宋_GBK" w:cs="宋体"/>
                <w:color w:val="000000"/>
                <w:szCs w:val="21"/>
              </w:rPr>
            </w:pPr>
          </w:p>
        </w:tc>
      </w:tr>
      <w:tr w14:paraId="5A525C60">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6FBA6">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B0B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0B8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JG241049</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5651">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税收筹划</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82B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8BD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A23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DD04">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E1F1">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B553">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3CBE">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0340">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3F1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A161">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ED9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C4D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2F14">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B4A3">
            <w:pPr>
              <w:jc w:val="center"/>
              <w:rPr>
                <w:rFonts w:ascii="方正书宋_GBK" w:hAnsi="宋体" w:eastAsia="方正书宋_GBK" w:cs="宋体"/>
                <w:color w:val="000000"/>
                <w:szCs w:val="21"/>
              </w:rPr>
            </w:pPr>
          </w:p>
        </w:tc>
      </w:tr>
      <w:tr w14:paraId="7086C161">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B122B">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CB5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D2E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JG241009</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2163">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高级财务会计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7EE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071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D19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3788">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8B9F">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FB4E">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DE77">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B57C">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890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5F13">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E69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7C8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DA08">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1AE8">
            <w:pPr>
              <w:jc w:val="center"/>
              <w:rPr>
                <w:rFonts w:ascii="方正书宋_GBK" w:hAnsi="宋体" w:eastAsia="方正书宋_GBK" w:cs="宋体"/>
                <w:color w:val="000000"/>
                <w:szCs w:val="21"/>
              </w:rPr>
            </w:pPr>
          </w:p>
        </w:tc>
      </w:tr>
      <w:tr w14:paraId="16188C1A">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96C0">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B5E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27</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AC3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JG231002</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68B8">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财务报告分析</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10B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9DC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8CE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DD33">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D627">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E242">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F9F0">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5F31">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244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ADEA">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6CA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418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69AC">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C6BF">
            <w:pPr>
              <w:jc w:val="center"/>
              <w:rPr>
                <w:rFonts w:ascii="方正书宋_GBK" w:hAnsi="宋体" w:eastAsia="方正书宋_GBK" w:cs="宋体"/>
                <w:color w:val="000000"/>
                <w:szCs w:val="21"/>
              </w:rPr>
            </w:pPr>
          </w:p>
        </w:tc>
      </w:tr>
      <w:tr w14:paraId="5B417873">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E832E">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170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28</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DC7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JG231050</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E949">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审计学</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72D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69C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033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E092">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240D">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76EE">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1226">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53E9">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984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51AD">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C9D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019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BA29">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FA26">
            <w:pPr>
              <w:jc w:val="center"/>
              <w:rPr>
                <w:rFonts w:ascii="方正书宋_GBK" w:hAnsi="宋体" w:eastAsia="方正书宋_GBK" w:cs="宋体"/>
                <w:color w:val="000000"/>
                <w:szCs w:val="21"/>
              </w:rPr>
            </w:pPr>
          </w:p>
        </w:tc>
      </w:tr>
      <w:tr w14:paraId="03F1932B">
        <w:tblPrEx>
          <w:tblCellMar>
            <w:top w:w="0" w:type="dxa"/>
            <w:left w:w="0" w:type="dxa"/>
            <w:bottom w:w="0" w:type="dxa"/>
            <w:right w:w="0" w:type="dxa"/>
          </w:tblCellMar>
        </w:tblPrEx>
        <w:trPr>
          <w:jc w:val="center"/>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1E4EA">
            <w:pPr>
              <w:widowControl/>
              <w:jc w:val="center"/>
              <w:textAlignment w:val="center"/>
              <w:rPr>
                <w:rFonts w:ascii="方正书宋_GBK" w:hAnsi="宋体" w:eastAsia="方正书宋_GBK" w:cs="宋体"/>
                <w:color w:val="000000"/>
                <w:szCs w:val="21"/>
              </w:rPr>
            </w:pPr>
            <w:bookmarkStart w:id="1" w:name="_GoBack" w:colFirst="2" w:colLast="2"/>
            <w:r>
              <w:rPr>
                <w:rFonts w:hint="eastAsia" w:ascii="方正书宋_GBK" w:hAnsi="宋体" w:eastAsia="方正书宋_GBK" w:cs="宋体"/>
                <w:color w:val="000000"/>
                <w:kern w:val="0"/>
                <w:szCs w:val="21"/>
                <w:lang w:bidi="ar"/>
              </w:rPr>
              <w:t>职业能力拓展课</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F85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29</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3A43">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b w:val="0"/>
                <w:i w:val="0"/>
                <w:color w:val="000000"/>
                <w:kern w:val="0"/>
                <w:szCs w:val="21"/>
                <w:lang w:val="en-US" w:eastAsia="zh-CN" w:bidi="ar"/>
              </w:rPr>
              <w:t>ZY261001</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930E">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职业素养课1</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D2F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6B0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6D1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735A">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B960">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310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6F71">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32D5">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7693">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9C06">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9E7D">
            <w:pPr>
              <w:jc w:val="center"/>
              <w:rPr>
                <w:rFonts w:ascii="方正书宋_GBK" w:hAnsi="宋体" w:eastAsia="方正书宋_GBK" w:cs="宋体"/>
                <w:color w:val="000000"/>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5D4F">
            <w:pPr>
              <w:jc w:val="center"/>
              <w:rPr>
                <w:rFonts w:ascii="方正书宋_GBK" w:hAnsi="宋体" w:eastAsia="方正书宋_GBK" w:cs="宋体"/>
                <w:color w:val="000000"/>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2C79">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6DD4">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5C3849DC">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70B6D">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606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2ABD">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b w:val="0"/>
                <w:i w:val="0"/>
                <w:color w:val="000000"/>
                <w:kern w:val="0"/>
                <w:szCs w:val="21"/>
                <w:lang w:val="en-US" w:eastAsia="zh-CN" w:bidi="ar"/>
              </w:rPr>
              <w:t>ZY261002</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6297">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职业素养课2</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A7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4D5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8F7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DAD7">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CBC7">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A6DF">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7DB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C75C">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3D84">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8064">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8EC4">
            <w:pPr>
              <w:jc w:val="center"/>
              <w:rPr>
                <w:rFonts w:ascii="方正书宋_GBK" w:hAnsi="宋体" w:eastAsia="方正书宋_GBK" w:cs="宋体"/>
                <w:color w:val="000000"/>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79C9">
            <w:pPr>
              <w:jc w:val="center"/>
              <w:rPr>
                <w:rFonts w:ascii="方正书宋_GBK" w:hAnsi="宋体" w:eastAsia="方正书宋_GBK" w:cs="宋体"/>
                <w:color w:val="000000"/>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DADE">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1ABA">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bookmarkEnd w:id="1"/>
      <w:tr w14:paraId="2A03142A">
        <w:tblPrEx>
          <w:tblCellMar>
            <w:top w:w="0" w:type="dxa"/>
            <w:left w:w="0" w:type="dxa"/>
            <w:bottom w:w="0" w:type="dxa"/>
            <w:right w:w="0" w:type="dxa"/>
          </w:tblCellMar>
        </w:tblPrEx>
        <w:trPr>
          <w:jc w:val="center"/>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7074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实践</w:t>
            </w:r>
            <w:r>
              <w:rPr>
                <w:rFonts w:hint="eastAsia"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教学</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D56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8C5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JG241056</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4EFC">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大数据与会计专业入学教育</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5E6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005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DF88">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C36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7BCC">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3BF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9259">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0AE6">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CD05">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EA44">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A61A">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D11C">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4A0C">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F858">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56488522">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5CB7D">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E47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D54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GG241018</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1CF0">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思想政治理论课实践教学</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769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E0C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0D4F">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8A8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9BF8">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B283">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D83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9D9A">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71BF">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68F7">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5F0A">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A203">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C680">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1457">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053B222F">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A8FF">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EE7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33</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16E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JG241057</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C890">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大数据与会计专业毕业教育</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6CE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1C4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9A7D">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DC0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0056">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C8D0">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0FCA">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DE13">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858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BE33">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701B">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0B9D">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D264">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83DC">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05231DE1">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5F65">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DCE4">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B48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JG241058</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1E6E">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大数据与会计专业毕业实习</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C0F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B74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B63B">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BF3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77A0">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8A9A">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0BE4">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ACF8">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D60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CD4F">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74C6">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A2FA">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5E71">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AB6D">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2C5042C5">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E0908">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39A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CFD3">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JG231051</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64F">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大数据与智能会计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146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897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8471">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1D1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D3BC">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0EC0">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EA06">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477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6D99">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E226">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57CA">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7A50">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2B39">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DDAC">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79676A49">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57873">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C1E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D24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JG231052</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FDA9">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财务共享应用</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479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21B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32F2">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B61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9A44">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1D27">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4729">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EFA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F1EA">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2C91">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AFCF">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4EF9">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4DEA">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452E">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74C0AA8">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4985">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0BF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37</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230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JG231053</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526B">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财务机器人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66B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250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B43D">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E67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E1A5">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8671">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2825">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6387">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319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C0B0">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3C9B">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0B91">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2945">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1982">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BDF73AB">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59B2">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269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BEE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JG231054</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E524">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集团财务管控实验</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984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A85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7C2D">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E4C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16AB">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0E0B">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877D">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2099">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F24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FE89">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D5E5">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CB2C">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D576">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7F07">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3B01F676">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B298">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D3D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39</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C9E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JG241005</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D785">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大数据与会计专业毕业论文</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756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81B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224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DD46">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2F2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224</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F295">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85EA">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67AC">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9228">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7C0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FB44">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A3EA">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7F1B">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1F4F">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F06A">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0011115A">
        <w:tblPrEx>
          <w:tblCellMar>
            <w:top w:w="0" w:type="dxa"/>
            <w:left w:w="0" w:type="dxa"/>
            <w:bottom w:w="0" w:type="dxa"/>
            <w:right w:w="0" w:type="dxa"/>
          </w:tblCellMar>
        </w:tblPrEx>
        <w:trPr>
          <w:jc w:val="center"/>
        </w:trPr>
        <w:tc>
          <w:tcPr>
            <w:tcW w:w="51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A9C4AD">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合计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33C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AEA3">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1600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A4C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1120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F17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448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725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75F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315</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3F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411</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D1E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339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B2E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419</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503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9D83">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C124">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D54E">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22AB">
            <w:pPr>
              <w:jc w:val="center"/>
              <w:rPr>
                <w:rFonts w:ascii="方正书宋_GBK" w:hAnsi="宋体" w:eastAsia="方正书宋_GBK" w:cs="宋体"/>
                <w:szCs w:val="21"/>
              </w:rPr>
            </w:pPr>
          </w:p>
        </w:tc>
      </w:tr>
      <w:tr w14:paraId="0F5468C2">
        <w:tblPrEx>
          <w:tblCellMar>
            <w:top w:w="0" w:type="dxa"/>
            <w:left w:w="0" w:type="dxa"/>
            <w:bottom w:w="0" w:type="dxa"/>
            <w:right w:w="0" w:type="dxa"/>
          </w:tblCellMar>
        </w:tblPrEx>
        <w:trPr>
          <w:jc w:val="center"/>
        </w:trPr>
        <w:tc>
          <w:tcPr>
            <w:tcW w:w="64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1BB4FE">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百分比%</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420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70.0%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E54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28.0%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F6A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1213">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155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25.7%</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973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21.2%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D49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26.2%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A81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7.3%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E47E">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845C">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EBD0">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E9D4">
            <w:pPr>
              <w:jc w:val="center"/>
              <w:rPr>
                <w:rFonts w:ascii="方正书宋_GBK" w:hAnsi="宋体" w:eastAsia="方正书宋_GBK" w:cs="宋体"/>
                <w:szCs w:val="21"/>
              </w:rPr>
            </w:pPr>
          </w:p>
        </w:tc>
      </w:tr>
    </w:tbl>
    <w:p w14:paraId="7EF2BE1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倩简体">
    <w:altName w:val="宋体"/>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91A5F"/>
    <w:rsid w:val="01217546"/>
    <w:rsid w:val="0896762F"/>
    <w:rsid w:val="1F991A5F"/>
    <w:rsid w:val="3FC83A0C"/>
    <w:rsid w:val="45B52919"/>
    <w:rsid w:val="626C381D"/>
    <w:rsid w:val="657E43B5"/>
    <w:rsid w:val="6D20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001 大标题"/>
    <w:basedOn w:val="1"/>
    <w:qFormat/>
    <w:uiPriority w:val="0"/>
    <w:pPr>
      <w:keepNext/>
      <w:keepLines/>
      <w:spacing w:before="468" w:beforeLines="150" w:after="156" w:afterLines="50"/>
      <w:jc w:val="center"/>
      <w:outlineLvl w:val="0"/>
    </w:pPr>
    <w:rPr>
      <w:rFonts w:ascii="方正粗倩简体" w:hAnsi="Times New Roman" w:eastAsia="方正粗倩简体" w:cs="Times New Roman"/>
      <w:bCs/>
      <w:w w:val="95"/>
      <w:sz w:val="44"/>
      <w:szCs w:val="32"/>
    </w:rPr>
  </w:style>
  <w:style w:type="paragraph" w:customStyle="1" w:styleId="5">
    <w:name w:val="002 一、"/>
    <w:basedOn w:val="6"/>
    <w:qFormat/>
    <w:uiPriority w:val="0"/>
    <w:pPr>
      <w:spacing w:before="170" w:after="170"/>
    </w:pPr>
  </w:style>
  <w:style w:type="paragraph" w:customStyle="1" w:styleId="6">
    <w:name w:val="样式4"/>
    <w:basedOn w:val="1"/>
    <w:qFormat/>
    <w:uiPriority w:val="0"/>
    <w:pPr>
      <w:spacing w:before="156" w:beforeLines="50" w:after="156" w:afterLines="50" w:line="360" w:lineRule="exact"/>
      <w:ind w:firstLine="480" w:firstLineChars="200"/>
    </w:pPr>
    <w:rPr>
      <w:rFonts w:ascii="方正书宋_GBK" w:hAnsi="Times New Roman" w:eastAsia="黑体" w:cs="Times New Roman"/>
      <w:sz w:val="24"/>
      <w:szCs w:val="24"/>
    </w:rPr>
  </w:style>
  <w:style w:type="paragraph" w:customStyle="1" w:styleId="7">
    <w:name w:val="003（一）"/>
    <w:basedOn w:val="1"/>
    <w:qFormat/>
    <w:uiPriority w:val="0"/>
    <w:pPr>
      <w:widowControl/>
      <w:ind w:firstLine="422" w:firstLineChars="200"/>
      <w:jc w:val="left"/>
    </w:pPr>
    <w:rPr>
      <w:rFonts w:ascii="方正书宋_GBK" w:hAnsi="仿宋" w:eastAsia="方正书宋_GBK" w:cs="Times New Roman"/>
      <w:b/>
      <w:color w:val="000000"/>
      <w:szCs w:val="21"/>
    </w:rPr>
  </w:style>
  <w:style w:type="paragraph" w:customStyle="1" w:styleId="8">
    <w:name w:val="005正文"/>
    <w:basedOn w:val="1"/>
    <w:qFormat/>
    <w:uiPriority w:val="0"/>
    <w:pPr>
      <w:widowControl/>
      <w:ind w:firstLine="420" w:firstLineChars="200"/>
    </w:pPr>
    <w:rPr>
      <w:rFonts w:ascii="方正书宋_GBK" w:hAnsi="仿宋" w:eastAsia="方正书宋_GBK"/>
      <w:szCs w:val="21"/>
    </w:rPr>
  </w:style>
  <w:style w:type="paragraph" w:customStyle="1" w:styleId="9">
    <w:name w:val="004 专业标题"/>
    <w:basedOn w:val="10"/>
    <w:qFormat/>
    <w:uiPriority w:val="0"/>
    <w:pPr>
      <w:adjustRightInd w:val="0"/>
      <w:snapToGrid w:val="0"/>
      <w:spacing w:before="170" w:afterLines="0"/>
      <w:outlineLvl w:val="9"/>
    </w:pPr>
    <w:rPr>
      <w:w w:val="100"/>
      <w:kern w:val="0"/>
    </w:rPr>
  </w:style>
  <w:style w:type="paragraph" w:customStyle="1" w:styleId="10">
    <w:name w:val="样式20"/>
    <w:basedOn w:val="1"/>
    <w:qFormat/>
    <w:uiPriority w:val="0"/>
    <w:pPr>
      <w:keepNext/>
      <w:keepLines/>
      <w:spacing w:beforeLines="50" w:afterLines="50"/>
      <w:jc w:val="center"/>
      <w:outlineLvl w:val="0"/>
    </w:pPr>
    <w:rPr>
      <w:rFonts w:ascii="方正大标宋简体" w:hAnsi="Times New Roman" w:eastAsia="方正大标宋简体" w:cs="Times New Roman"/>
      <w:bCs/>
      <w:w w:val="95"/>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2213</Words>
  <Characters>2730</Characters>
  <Lines>0</Lines>
  <Paragraphs>0</Paragraphs>
  <TotalTime>0</TotalTime>
  <ScaleCrop>false</ScaleCrop>
  <LinksUpToDate>false</LinksUpToDate>
  <CharactersWithSpaces>2730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2025-01-10T03:07:00Z</dcterms:created>
  <dc:creator>要求</dc:creator>
  <cp:lastModifiedBy>要求</cp:lastModifiedBy>
  <dcterms:modified xsi:type="dcterms:W3CDTF">2026-03-31T08:56:40Z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C1727E116DB34555A65E6950B13900C4_11</vt:lpwstr>
  </property>
  <property fmtid="{D5CDD505-2E9C-101B-9397-08002B2CF9AE}" pid="4" name="KSOTemplateDocerSaveRecord">
    <vt:lpwstr>eyJoZGlkIjoiNDk2Y2NlZmFmNWIzNGI4NTNkNTZlODY3NGYyNjU5MDEiLCJ1c2VySWQiOiIzMDIzMTIwMTMifQ==</vt:lpwstr>
  </property>
</Properties>
</file>