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522AE">
      <w:pPr>
        <w:pStyle w:val="4"/>
        <w:spacing w:before="510" w:after="170"/>
      </w:pPr>
      <w:bookmarkStart w:id="0" w:name="_Toc168328201"/>
      <w:r>
        <w:rPr>
          <w:rFonts w:hint="eastAsia"/>
        </w:rPr>
        <w:t>法学培养方案</w:t>
      </w:r>
      <w:bookmarkEnd w:id="0"/>
    </w:p>
    <w:p w14:paraId="6ECD6F0B">
      <w:pPr>
        <w:overflowPunct w:val="0"/>
        <w:ind w:firstLine="420" w:firstLineChars="200"/>
        <w:rPr>
          <w:rFonts w:ascii="方正书宋_GBK" w:hAnsi="楷体" w:eastAsia="方正书宋_GBK"/>
          <w:b/>
          <w:kern w:val="0"/>
          <w:szCs w:val="21"/>
        </w:rPr>
      </w:pPr>
    </w:p>
    <w:p w14:paraId="63BB3AE5">
      <w:pPr>
        <w:pStyle w:val="5"/>
      </w:pPr>
      <w:r>
        <w:rPr>
          <w:rFonts w:hint="eastAsia"/>
        </w:rPr>
        <w:t>一、专业基本信息</w:t>
      </w:r>
    </w:p>
    <w:p w14:paraId="23E0416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专业名称：法学</w:t>
      </w:r>
    </w:p>
    <w:p w14:paraId="162EA0F0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专业代码：030101K</w:t>
      </w:r>
    </w:p>
    <w:p w14:paraId="0F64B2F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办学层次：专升本</w:t>
      </w:r>
    </w:p>
    <w:p w14:paraId="194B3033">
      <w:pPr>
        <w:pStyle w:val="10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523374B5">
      <w:pPr>
        <w:pStyle w:val="5"/>
      </w:pPr>
      <w:r>
        <w:rPr>
          <w:rFonts w:hint="eastAsia"/>
        </w:rPr>
        <w:t>二、培养目标与人才规格</w:t>
      </w:r>
    </w:p>
    <w:p w14:paraId="461CEDCA">
      <w:pPr>
        <w:pStyle w:val="7"/>
      </w:pPr>
      <w:r>
        <w:rPr>
          <w:rFonts w:hint="eastAsia"/>
        </w:rPr>
        <w:t>（一）培养目标</w:t>
      </w:r>
    </w:p>
    <w:p w14:paraId="0968A67A">
      <w:pPr>
        <w:ind w:firstLine="420" w:firstLineChars="200"/>
        <w:rPr>
          <w:rFonts w:ascii="方正书宋_GBK" w:eastAsia="方正书宋_GBK"/>
          <w:szCs w:val="21"/>
        </w:rPr>
      </w:pPr>
      <w:r>
        <w:rPr>
          <w:rFonts w:hint="eastAsia" w:ascii="方正书宋_GBK" w:eastAsia="方正书宋_GBK"/>
          <w:szCs w:val="21"/>
        </w:rPr>
        <w:t>法学专业培养德、智、体、美、劳全面发展，熟悉和坚持中国特色社会主义法治体系，具备合理的知识结构、扎实的专业理论基础、熟练的职业技能和较强的创新创业能力，能适应多样化法律职业要求的复合型、职业型、创新型卓越法治人才。</w:t>
      </w:r>
    </w:p>
    <w:p w14:paraId="7427E100">
      <w:pPr>
        <w:pStyle w:val="7"/>
      </w:pPr>
      <w:r>
        <w:rPr>
          <w:rFonts w:hint="eastAsia"/>
        </w:rPr>
        <w:t>（二）知识、能力和素质要求</w:t>
      </w:r>
    </w:p>
    <w:p w14:paraId="62F97A01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知识要求：具有系统、完整的法学知识结构，熟悉我国主要法律、法规和相关政策，能够将法学知识运用于解决复杂法律问题。</w:t>
      </w:r>
    </w:p>
    <w:p w14:paraId="0170C35B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具有系统的法学知识结构和严谨的法律逻辑思维能力，能够识别、分析、表达和评价复杂法律问题；能够运用法学原理和现代信息技术工具，针对复杂法律问题设计解决方案，处理相关实务工作，并能兼顾经济社会的可持续发展；具有良好的人文、自然科学素养、社会责任感和职业道德，具备解决复杂法律问题的系统性思维、创新性潜质和开阔的国际视野；具有团队合作精神和创新精神，具备较强的组织管理和合作交流能力；具有终身学习的理念，并通过各种学习途径能够自我更新知识和提升能力，以不断适应社会发展和环境变化。</w:t>
      </w:r>
    </w:p>
    <w:p w14:paraId="533402E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良好的思想道德素质和职业道德素质，能够在解决复杂法律问题的实践中理解并遵守职业道德和规范，履行责任；具有团队协作意识，能够在团队中与人合作共事；具有良好的人文修养、身心素质和专业素质，能够适应社会竞争与合作。</w:t>
      </w:r>
    </w:p>
    <w:p w14:paraId="0835C7A8">
      <w:pPr>
        <w:pStyle w:val="5"/>
      </w:pPr>
      <w:r>
        <w:rPr>
          <w:rFonts w:hint="eastAsia"/>
        </w:rPr>
        <w:t>三、修业年限</w:t>
      </w:r>
    </w:p>
    <w:p w14:paraId="5EFFE71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596D9329">
      <w:pPr>
        <w:pStyle w:val="5"/>
      </w:pPr>
      <w:r>
        <w:rPr>
          <w:rFonts w:hint="eastAsia"/>
        </w:rPr>
        <w:t>四、教学形式</w:t>
      </w:r>
    </w:p>
    <w:p w14:paraId="6AD7133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5FF3AFBB">
      <w:pPr>
        <w:pStyle w:val="5"/>
      </w:pPr>
      <w:r>
        <w:rPr>
          <w:rFonts w:hint="eastAsia"/>
        </w:rPr>
        <w:t>五、课程设置与学时分配</w:t>
      </w:r>
    </w:p>
    <w:p w14:paraId="6AC4716F">
      <w:pPr>
        <w:overflowPunct w:val="0"/>
        <w:ind w:firstLine="420" w:firstLineChars="200"/>
        <w:rPr>
          <w:rFonts w:ascii="方正书宋_GBK" w:hAnsi="仿宋" w:eastAsia="方正书宋_GBK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方正书宋_GBK" w:hAnsi="仿宋" w:eastAsia="方正书宋_GBK" w:cs="Times New Roman"/>
          <w:szCs w:val="21"/>
        </w:rPr>
        <w:t>本专业课程共1600学时，100学分。其中公共基础课408学时，计25.5学分；专业课776学时，计48.5学分；职业能力拓展课64学时，计4学分；实践课352学时，计22学分。</w:t>
      </w:r>
    </w:p>
    <w:p w14:paraId="770EB91A">
      <w:pPr>
        <w:pStyle w:val="5"/>
      </w:pPr>
      <w:r>
        <w:rPr>
          <w:rFonts w:hint="eastAsia"/>
        </w:rPr>
        <w:t>六、学位课程</w:t>
      </w:r>
    </w:p>
    <w:p w14:paraId="2A189B1A">
      <w:pPr>
        <w:overflowPunct w:val="0"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法理学、刑法学总论、民法学总论</w:t>
      </w:r>
    </w:p>
    <w:p w14:paraId="693F89A6">
      <w:pPr>
        <w:pStyle w:val="5"/>
      </w:pPr>
      <w:r>
        <w:rPr>
          <w:rFonts w:hint="eastAsia"/>
        </w:rPr>
        <w:t>七、考核、毕业要求学位授予</w:t>
      </w:r>
    </w:p>
    <w:p w14:paraId="441ABCC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本专业理论课程考核全部采用“过程性考核+终结性考核”的方式。学生完成培养方案规定的课程和学分要求，考核合格，</w:t>
      </w:r>
      <w:r>
        <w:rPr>
          <w:rFonts w:hint="eastAsia" w:ascii="方正书宋_GBK" w:hAnsi="仿宋" w:eastAsia="方正书宋_GBK"/>
          <w:szCs w:val="21"/>
          <w:lang w:eastAsia="zh-CN"/>
        </w:rPr>
        <w:t>准予毕业，</w:t>
      </w:r>
      <w:r>
        <w:rPr>
          <w:rFonts w:hint="eastAsia" w:ascii="方正书宋_GBK" w:hAnsi="仿宋" w:eastAsia="方正书宋_GBK"/>
          <w:szCs w:val="21"/>
        </w:rPr>
        <w:t>符合学位授予条件的，经申请授予法学学士学位。</w:t>
      </w:r>
    </w:p>
    <w:p w14:paraId="21E457A1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本专业毕业生应具有以下知识和能力：</w:t>
      </w:r>
    </w:p>
    <w:p w14:paraId="5090A753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1.法学知识：具有系统、完整的法学知识结构，熟悉我国主要法律、法规和相关政策，能够将法学知识运用于解决复杂法律问题。</w:t>
      </w:r>
    </w:p>
    <w:p w14:paraId="7221F03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2.问题分析：拥有系统、严谨的法律逻辑思维，能够运用法律知识识别、复习、表达复杂法律问题。</w:t>
      </w:r>
    </w:p>
    <w:p w14:paraId="634D659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3.方案设计与执行：能够针对实际法律问题设计解决方案，并运用法律职业技能处理相关实务工作。</w:t>
      </w:r>
    </w:p>
    <w:p w14:paraId="6590172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4.思想素质：有良好的思想道德品质和较强的团队意识、组织协作能力。</w:t>
      </w:r>
    </w:p>
    <w:p w14:paraId="71B367E3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5.通识素养：具备应有的英语、人文社会和自然科学知识和素养，能够在多学科环境中应用法学原理和方法，并能理解和评价法律对经济社会可持续发展的影响。</w:t>
      </w:r>
    </w:p>
    <w:p w14:paraId="5F10E9B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6.职业规范：具有正确的人生观、世界观和价值观，具有社会责任感和主人翁精神，并在实践中理解和遵守法律职业规范。</w:t>
      </w:r>
    </w:p>
    <w:p w14:paraId="50D707E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7.终身学习：具有自主学习和终身学习的意识，具备根据社会和职业发展需要，不断学习适应和自我提升的能力。</w:t>
      </w:r>
    </w:p>
    <w:p w14:paraId="6FF82341">
      <w:pPr>
        <w:pStyle w:val="5"/>
      </w:pPr>
      <w:r>
        <w:rPr>
          <w:rFonts w:hint="eastAsia"/>
        </w:rPr>
        <w:t>八、教学实施保障</w:t>
      </w:r>
    </w:p>
    <w:p w14:paraId="416DD05B">
      <w:pPr>
        <w:overflowPunct w:val="0"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3552BA71">
      <w:pPr>
        <w:pStyle w:val="5"/>
      </w:pPr>
      <w:r>
        <w:rPr>
          <w:rFonts w:hint="eastAsia"/>
        </w:rPr>
        <w:t>九、教学计划进程表</w:t>
      </w:r>
    </w:p>
    <w:p w14:paraId="31889151">
      <w:p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112664CF">
      <w:pPr>
        <w:pStyle w:val="8"/>
      </w:pPr>
      <w:r>
        <w:rPr>
          <w:rFonts w:hint="eastAsia"/>
          <w:lang w:bidi="ar"/>
        </w:rPr>
        <w:t>法学专业教学进程表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446"/>
        <w:gridCol w:w="1061"/>
        <w:gridCol w:w="2390"/>
        <w:gridCol w:w="649"/>
        <w:gridCol w:w="674"/>
        <w:gridCol w:w="768"/>
        <w:gridCol w:w="779"/>
        <w:gridCol w:w="768"/>
        <w:gridCol w:w="744"/>
        <w:gridCol w:w="744"/>
        <w:gridCol w:w="768"/>
        <w:gridCol w:w="746"/>
        <w:gridCol w:w="576"/>
        <w:gridCol w:w="762"/>
        <w:gridCol w:w="470"/>
        <w:gridCol w:w="528"/>
        <w:gridCol w:w="513"/>
      </w:tblGrid>
      <w:tr w14:paraId="0092A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63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8D5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6A8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4FEC5E4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020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96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5E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58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77C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AB4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0C969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350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74A5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F96D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C39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5B1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1BE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EB1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3B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18F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A42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87F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6E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834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8DA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E9F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DD9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69BBC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53FC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C3C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8878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906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51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4B2D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771F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004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CF5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0E0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71CD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E4A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1C9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183D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3F78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B4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A96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47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14171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B74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C6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449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409B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64E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AE2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971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1E3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9D9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73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764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921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56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833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86F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4C2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258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4B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0E8C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A2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CC0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B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A6D6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马克思主义基本原理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6B1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B40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F30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E24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EBB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1DD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D7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5C9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C79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B2D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152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6A9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4E9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11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5A42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FB9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ACD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E99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329E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BEB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EC4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F7C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FBE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17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A7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52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0F2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D83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EC1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1AF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891A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EFF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62A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E17A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152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DE7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AAC3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A911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2D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A5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48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EE4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01C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3AA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D5A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7C2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4B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F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5FC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D8A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56C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6FB">
            <w:pPr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7BB98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69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BB0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13F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C608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76B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C94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387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28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F3F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0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206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77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059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CB5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D2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468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8A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28D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F0B9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A00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606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C8F0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AC05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956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8F3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0EB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D7E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B50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9FD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760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899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200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601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E66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6F6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187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ECA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31A9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D5F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BD1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14E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86C3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3D0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845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08A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3A3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3D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608B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58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A89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0F5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745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37F4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0A2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C78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C32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0540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857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3A0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4965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A8CC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2D8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2A4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49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44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46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8B1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0D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051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3C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F47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BCF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D7C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8C4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1A0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1"/>
      <w:tr w14:paraId="28B8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FD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7AA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CCF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B142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C8F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2F1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AD8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81C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BD6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531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15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577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C3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F0F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A33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B2C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595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42B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BFD3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29D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149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8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0C18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78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B65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9D4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7C1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7CE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07B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DC6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62E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FE2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A8A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EE1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9DE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B2E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069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6339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618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80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002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DF97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计算机应用基础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CF3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E3A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3F6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E66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6D9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08B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F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6E5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C4E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DEA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E14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23D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FB5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C43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EA7E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F8F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C00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CE9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084E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程序设计语言VB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635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B6C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C26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4DE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D26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44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C3C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99D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6A8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B9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893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EAE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D58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CC7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2F30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638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29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21C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A99B">
            <w:pPr>
              <w:widowControl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A76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142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720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524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C91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506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B9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40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1D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1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19F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AA6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53E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117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5DCE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C65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C7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59A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21E6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法理学*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BB8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CE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8FE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2D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900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87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EF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0D4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B0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C76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F42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E1D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5DD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874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C118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83C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D9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1AE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24EA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法律逻辑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84E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E65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97F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F7F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69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1B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9DA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488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773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48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66E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AD8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2C6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864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A57B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EC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C54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375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B213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宪法学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5C4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8B9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E77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5BC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084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90F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B4E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6C5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BE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DCD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CAC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3A6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934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F32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B58F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172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2F5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438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329F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刑法学总论*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707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9C1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5F0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9B0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D42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812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CD5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99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BB0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6D8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3B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807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8BB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AEF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B83D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853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B9D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3B2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CBF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民法学总论*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B03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B8B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EEC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52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C1F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8EB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FAB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869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D4B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29D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098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4A9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12C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D4F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2395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95A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7DE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CB8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D785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婚姻家庭继承法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1C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61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3F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04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8BB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6BE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847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5B9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7E8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5DD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1BD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223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964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9A8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3E9A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964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864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CF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61F8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民事诉讼法学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29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9B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874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BC0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ECF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9A8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594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116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D12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A2A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40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2A6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6A4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0FA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F60C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2D6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BB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FD2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8090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行政法学与行政诉讼法学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38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54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F3A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29B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D73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38E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16B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BE3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BC9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BEE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861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3034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F4E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1A5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B7FE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870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2A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C50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25B9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国际经济法学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4A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1D0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C12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D30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CDD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DEF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82C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069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9A0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14F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D71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A6D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135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632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B82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29E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B30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3B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FX232009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9BAD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劳动法与社会保障法学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E80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21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C77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A42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D55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2AD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2F5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198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AFA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28B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A49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503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FC3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1CD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A97E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3D6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5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82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6DCF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经济法学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68E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093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2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F68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96A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DAE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0FF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0C5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4DF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1FA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F32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0FE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710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728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14E9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C89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C8F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FA4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0CFA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刑事诉讼法学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F75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5F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265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149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33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E64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B98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F0F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7C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145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07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768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ACE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55D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5DFF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3F0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012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543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5C85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知识产权法学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D2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D07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DF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046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323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7B8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7BE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71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809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596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F4C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2C8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127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4B7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BE50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8DB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BB5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FC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E799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律师与公证制度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110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5B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761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B97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0D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B32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E1F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01A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DA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D03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694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51C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B34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24B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35E3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9A80">
            <w:pPr>
              <w:widowControl/>
              <w:ind w:firstLine="21" w:firstLineChar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能力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拓展课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12D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CF4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51C8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D9D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EBB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45C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ECC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04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5E2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D35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E80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2FD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BD2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08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683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F66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41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67FC9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6BB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D99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EB4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564C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F8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D5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118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918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897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58C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06E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014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733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B4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9AE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E55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01C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F54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2888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DC1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A28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9CD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09BC">
            <w:pPr>
              <w:widowControl/>
              <w:spacing w:before="44" w:beforeLines="13" w:after="44" w:afterLines="13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职业生涯规划与管理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645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CA1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52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1D4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704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555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3F6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4EC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6A7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00A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348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B80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972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E25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208EB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248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B88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E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FX242017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8186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法学专业入学教育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45D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B77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8AC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04F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E41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1D3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A3D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807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350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6B6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30D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58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09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490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093A0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760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BAE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2E0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1501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834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F9A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8F9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680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58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098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B6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D3F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5D6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9E4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E49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482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71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F2D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1274F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2FF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516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F90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FX242018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B699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法学专业毕业教育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97D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B84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AB3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D8C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6B7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1F4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926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D7D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286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B26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94A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E5A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C4B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EAB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469E0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C45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2A1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B30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FX242019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6D7E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法学专业毕业实习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CA5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9D6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9B1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4E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0FB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39D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774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BE8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A8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A46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21F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942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366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D49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67F34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F13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9CA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483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FX242015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B479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法学专业毕业论文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3A7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CA0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8B4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76D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675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017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FF7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79E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AA1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3C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ED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1D1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AE1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0A0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59668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FFF7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F49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E3D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3DE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1144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EF6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95F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96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372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C46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372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29F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292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1D3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6D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144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577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61F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7A4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077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78DE8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A0E8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84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71.5%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E42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26.0%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DB5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2.5%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46F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23.3%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FFB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23.3%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07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18.3%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FCC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26.3%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A3D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9.0%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0CA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DD4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54E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468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5CAA30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1300"/>
    <w:rsid w:val="0B4A21AB"/>
    <w:rsid w:val="15C87257"/>
    <w:rsid w:val="24F334EB"/>
    <w:rsid w:val="261F2C03"/>
    <w:rsid w:val="2F1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004 专业标题"/>
    <w:basedOn w:val="9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9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0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2195</Words>
  <Characters>2679</Characters>
  <Lines>0</Lines>
  <Paragraphs>0</Paragraphs>
  <TotalTime>0</TotalTime>
  <ScaleCrop>false</ScaleCrop>
  <LinksUpToDate>false</LinksUpToDate>
  <CharactersWithSpaces>2679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要求</dc:creator>
  <cp:lastModifiedBy>要求</cp:lastModifiedBy>
  <dcterms:modified xsi:type="dcterms:W3CDTF">2025-04-28T09:21:07Z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4D1F8D3D187D43E9A3B5CEED60C368FA_11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