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935" w14:textId="77777777" w:rsidR="00BB49E7" w:rsidRDefault="00000000">
      <w:pPr>
        <w:jc w:val="center"/>
        <w:rPr>
          <w:rFonts w:ascii="方正小标宋简体" w:eastAsia="方正小标宋简体" w:hAnsi="方正小标宋简体" w:cs="方正小标宋简体" w:hint="eastAsia"/>
          <w:b/>
          <w:bCs/>
          <w:sz w:val="36"/>
          <w:szCs w:val="36"/>
        </w:rPr>
      </w:pPr>
      <w:r>
        <w:rPr>
          <w:rFonts w:ascii="方正小标宋简体" w:eastAsia="方正小标宋简体" w:hAnsi="方正小标宋简体" w:cs="方正小标宋简体" w:hint="eastAsia"/>
          <w:b/>
          <w:bCs/>
          <w:sz w:val="36"/>
          <w:szCs w:val="36"/>
        </w:rPr>
        <w:t>西南科技大学2025年上半年高等学历继续教育本科毕业生学士学位申请工作日程安排表</w:t>
      </w:r>
    </w:p>
    <w:p w14:paraId="6781907A" w14:textId="77777777" w:rsidR="00BB49E7" w:rsidRDefault="00BB49E7">
      <w:pPr>
        <w:jc w:val="center"/>
        <w:rPr>
          <w:rFonts w:ascii="方正小标宋简体" w:eastAsia="方正小标宋简体" w:hAnsi="方正小标宋简体" w:cs="方正小标宋简体" w:hint="eastAsia"/>
          <w:b/>
          <w:bCs/>
          <w:sz w:val="36"/>
          <w:szCs w:val="36"/>
        </w:rPr>
      </w:pPr>
    </w:p>
    <w:tbl>
      <w:tblPr>
        <w:tblW w:w="8849" w:type="dxa"/>
        <w:jc w:val="center"/>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44"/>
        <w:gridCol w:w="1603"/>
        <w:gridCol w:w="2983"/>
        <w:gridCol w:w="2519"/>
      </w:tblGrid>
      <w:tr w:rsidR="00BB49E7" w14:paraId="7B629344"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2340C2C" w14:textId="77777777" w:rsidR="00BB49E7" w:rsidRDefault="00000000">
            <w:pPr>
              <w:pStyle w:val="a4"/>
              <w:spacing w:beforeAutospacing="0" w:afterAutospacing="0" w:line="480" w:lineRule="exact"/>
              <w:jc w:val="center"/>
              <w:rPr>
                <w:rFonts w:ascii="仿宋_GB2312" w:eastAsia="仿宋_GB2312" w:hAnsi="仿宋_GB2312" w:cs="仿宋_GB2312" w:hint="eastAsia"/>
                <w:b/>
                <w:color w:val="000000"/>
                <w:sz w:val="30"/>
                <w:szCs w:val="30"/>
              </w:rPr>
            </w:pPr>
            <w:r>
              <w:rPr>
                <w:rStyle w:val="a5"/>
                <w:rFonts w:ascii="仿宋_GB2312" w:eastAsia="仿宋_GB2312" w:hAnsi="仿宋_GB2312" w:cs="仿宋_GB2312" w:hint="eastAsia"/>
                <w:color w:val="000000"/>
                <w:sz w:val="30"/>
                <w:szCs w:val="30"/>
              </w:rPr>
              <w:t>时间</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7A3C8DB" w14:textId="77777777" w:rsidR="00BB49E7" w:rsidRDefault="00000000">
            <w:pPr>
              <w:pStyle w:val="a4"/>
              <w:spacing w:beforeAutospacing="0" w:afterAutospacing="0" w:line="480" w:lineRule="exact"/>
              <w:jc w:val="center"/>
              <w:rPr>
                <w:rFonts w:ascii="仿宋_GB2312" w:eastAsia="仿宋_GB2312" w:hAnsi="仿宋_GB2312" w:cs="仿宋_GB2312" w:hint="eastAsia"/>
                <w:b/>
                <w:color w:val="000000"/>
                <w:sz w:val="30"/>
                <w:szCs w:val="30"/>
              </w:rPr>
            </w:pPr>
            <w:r>
              <w:rPr>
                <w:rFonts w:ascii="仿宋_GB2312" w:eastAsia="仿宋_GB2312" w:hAnsi="仿宋_GB2312" w:cs="仿宋_GB2312" w:hint="eastAsia"/>
                <w:b/>
                <w:color w:val="000000"/>
                <w:sz w:val="30"/>
                <w:szCs w:val="30"/>
              </w:rPr>
              <w:t>主体</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506ECE18" w14:textId="77777777" w:rsidR="00BB49E7" w:rsidRDefault="00000000">
            <w:pPr>
              <w:pStyle w:val="a4"/>
              <w:spacing w:beforeAutospacing="0" w:afterAutospacing="0" w:line="480" w:lineRule="exact"/>
              <w:jc w:val="center"/>
              <w:rPr>
                <w:rFonts w:ascii="仿宋_GB2312" w:eastAsia="仿宋_GB2312" w:hAnsi="仿宋_GB2312" w:cs="仿宋_GB2312" w:hint="eastAsia"/>
                <w:b/>
                <w:color w:val="000000"/>
                <w:sz w:val="30"/>
                <w:szCs w:val="30"/>
              </w:rPr>
            </w:pPr>
            <w:r>
              <w:rPr>
                <w:rStyle w:val="a5"/>
                <w:rFonts w:ascii="仿宋_GB2312" w:eastAsia="仿宋_GB2312" w:hAnsi="仿宋_GB2312" w:cs="仿宋_GB2312" w:hint="eastAsia"/>
                <w:color w:val="000000"/>
                <w:sz w:val="30"/>
                <w:szCs w:val="30"/>
              </w:rPr>
              <w:t>内容</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4D6BDF2" w14:textId="77777777" w:rsidR="00BB49E7" w:rsidRDefault="00000000">
            <w:pPr>
              <w:pStyle w:val="a4"/>
              <w:spacing w:beforeAutospacing="0" w:afterAutospacing="0" w:line="480" w:lineRule="exact"/>
              <w:jc w:val="center"/>
              <w:rPr>
                <w:rFonts w:ascii="仿宋_GB2312" w:eastAsia="仿宋_GB2312" w:hAnsi="仿宋_GB2312" w:cs="仿宋_GB2312" w:hint="eastAsia"/>
                <w:b/>
                <w:color w:val="000000"/>
                <w:sz w:val="30"/>
                <w:szCs w:val="30"/>
              </w:rPr>
            </w:pPr>
            <w:r>
              <w:rPr>
                <w:rStyle w:val="a5"/>
                <w:rFonts w:ascii="仿宋_GB2312" w:eastAsia="仿宋_GB2312" w:hAnsi="仿宋_GB2312" w:cs="仿宋_GB2312" w:hint="eastAsia"/>
                <w:color w:val="000000"/>
                <w:sz w:val="30"/>
                <w:szCs w:val="30"/>
              </w:rPr>
              <w:t>注意事项</w:t>
            </w:r>
          </w:p>
        </w:tc>
      </w:tr>
      <w:tr w:rsidR="00BB49E7" w14:paraId="544F31AE"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BDFF570"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1月27日至3月13日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BF8A47B"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申请人</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42730EA"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准备申请材料；</w:t>
            </w:r>
            <w:r>
              <w:rPr>
                <w:rFonts w:ascii="仿宋_GB2312" w:eastAsia="仿宋_GB2312" w:hAnsi="仿宋_GB2312" w:cs="仿宋_GB2312" w:hint="eastAsia"/>
                <w:sz w:val="32"/>
                <w:szCs w:val="32"/>
              </w:rPr>
              <w:t>登录教学教务平台，进入学生学习室内学位申请系统，</w:t>
            </w:r>
            <w:r>
              <w:rPr>
                <w:rFonts w:ascii="仿宋_GB2312" w:eastAsia="仿宋_GB2312" w:hAnsi="仿宋_GB2312" w:cs="仿宋_GB2312" w:hint="eastAsia"/>
                <w:color w:val="000000"/>
                <w:sz w:val="30"/>
                <w:szCs w:val="30"/>
              </w:rPr>
              <w:t>按要求填报学位申请基本信息，上</w:t>
            </w:r>
            <w:proofErr w:type="gramStart"/>
            <w:r>
              <w:rPr>
                <w:rFonts w:ascii="仿宋_GB2312" w:eastAsia="仿宋_GB2312" w:hAnsi="仿宋_GB2312" w:cs="仿宋_GB2312" w:hint="eastAsia"/>
                <w:color w:val="000000"/>
                <w:sz w:val="30"/>
                <w:szCs w:val="30"/>
              </w:rPr>
              <w:t>传所有</w:t>
            </w:r>
            <w:proofErr w:type="gramEnd"/>
            <w:r>
              <w:rPr>
                <w:rFonts w:ascii="仿宋_GB2312" w:eastAsia="仿宋_GB2312" w:hAnsi="仿宋_GB2312" w:cs="仿宋_GB2312" w:hint="eastAsia"/>
                <w:color w:val="000000"/>
                <w:sz w:val="30"/>
                <w:szCs w:val="30"/>
              </w:rPr>
              <w:t>材料，提交申请。</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BF985C2" w14:textId="6AB462EF"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1.毕业设计（论文）及支撑材料模板见</w:t>
            </w:r>
            <w:r>
              <w:rPr>
                <w:rFonts w:ascii="仿宋_GB2312" w:eastAsia="仿宋_GB2312" w:hAnsi="仿宋_GB2312" w:cs="仿宋_GB2312" w:hint="eastAsia"/>
                <w:b/>
                <w:bCs/>
                <w:color w:val="0000FF"/>
                <w:sz w:val="30"/>
                <w:szCs w:val="30"/>
              </w:rPr>
              <w:t>附件7</w:t>
            </w:r>
            <w:r>
              <w:rPr>
                <w:rFonts w:ascii="仿宋_GB2312" w:eastAsia="仿宋_GB2312" w:hAnsi="仿宋_GB2312" w:cs="仿宋_GB2312" w:hint="eastAsia"/>
                <w:color w:val="000000"/>
                <w:sz w:val="30"/>
                <w:szCs w:val="30"/>
              </w:rPr>
              <w:t>。</w:t>
            </w:r>
          </w:p>
          <w:p w14:paraId="568BAE81"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2.使用维普论文检测系统查重，并提交原文对照查重报告。</w:t>
            </w:r>
          </w:p>
          <w:p w14:paraId="6B977D49" w14:textId="77777777" w:rsidR="00BB49E7" w:rsidRDefault="00000000">
            <w:pPr>
              <w:pStyle w:val="a4"/>
              <w:spacing w:beforeAutospacing="0" w:afterAutospacing="0" w:line="480" w:lineRule="exact"/>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3.逾期未上</w:t>
            </w:r>
            <w:proofErr w:type="gramStart"/>
            <w:r>
              <w:rPr>
                <w:rFonts w:ascii="仿宋_GB2312" w:eastAsia="仿宋_GB2312" w:hAnsi="仿宋_GB2312" w:cs="仿宋_GB2312" w:hint="eastAsia"/>
                <w:sz w:val="30"/>
                <w:szCs w:val="30"/>
              </w:rPr>
              <w:t>传材料</w:t>
            </w:r>
            <w:proofErr w:type="gramEnd"/>
            <w:r>
              <w:rPr>
                <w:rFonts w:ascii="仿宋_GB2312" w:eastAsia="仿宋_GB2312" w:hAnsi="仿宋_GB2312" w:cs="仿宋_GB2312" w:hint="eastAsia"/>
                <w:sz w:val="30"/>
                <w:szCs w:val="30"/>
              </w:rPr>
              <w:t>的，视为放弃本次学位申请。</w:t>
            </w:r>
          </w:p>
          <w:p w14:paraId="00228C1E" w14:textId="77777777" w:rsidR="00BB49E7" w:rsidRDefault="00000000">
            <w:pPr>
              <w:pStyle w:val="a4"/>
              <w:spacing w:beforeAutospacing="0" w:afterAutospacing="0" w:line="480" w:lineRule="exact"/>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4.</w:t>
            </w:r>
            <w:proofErr w:type="gramStart"/>
            <w:r>
              <w:rPr>
                <w:rFonts w:ascii="仿宋_GB2312" w:eastAsia="仿宋_GB2312" w:hAnsi="仿宋_GB2312" w:cs="仿宋_GB2312" w:hint="eastAsia"/>
                <w:sz w:val="30"/>
                <w:szCs w:val="30"/>
              </w:rPr>
              <w:t>凡资格</w:t>
            </w:r>
            <w:proofErr w:type="gramEnd"/>
            <w:r>
              <w:rPr>
                <w:rFonts w:ascii="仿宋_GB2312" w:eastAsia="仿宋_GB2312" w:hAnsi="仿宋_GB2312" w:cs="仿宋_GB2312" w:hint="eastAsia"/>
                <w:sz w:val="30"/>
                <w:szCs w:val="30"/>
              </w:rPr>
              <w:t>审查、形式审核不通过的，终止本次学位申请。</w:t>
            </w:r>
          </w:p>
        </w:tc>
      </w:tr>
      <w:tr w:rsidR="00BB49E7" w14:paraId="73C9275B"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D3EF8F0" w14:textId="77777777" w:rsidR="00BB49E7" w:rsidRDefault="00000000">
            <w:pPr>
              <w:pStyle w:val="a4"/>
              <w:spacing w:beforeAutospacing="0" w:afterAutospacing="0" w:line="48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3月14日至3月16日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2A44F46" w14:textId="77777777" w:rsidR="00BB49E7" w:rsidRDefault="00000000">
            <w:pPr>
              <w:pStyle w:val="a4"/>
              <w:spacing w:beforeAutospacing="0" w:afterAutospacing="0" w:line="48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校外教学点</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0DD256C" w14:textId="77777777" w:rsidR="00BB49E7" w:rsidRDefault="00000000">
            <w:pPr>
              <w:pStyle w:val="a4"/>
              <w:spacing w:beforeAutospacing="0" w:afterAutospacing="0" w:line="480" w:lineRule="exact"/>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申请信息及申请材料初审。 </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616014C" w14:textId="77777777" w:rsidR="00BB49E7" w:rsidRDefault="00000000">
            <w:pPr>
              <w:pStyle w:val="a4"/>
              <w:spacing w:beforeAutospacing="0" w:afterAutospacing="0" w:line="480" w:lineRule="exact"/>
              <w:jc w:val="both"/>
              <w:rPr>
                <w:rFonts w:ascii="仿宋_GB2312" w:eastAsia="仿宋_GB2312" w:hAnsi="仿宋_GB2312" w:cs="仿宋_GB2312" w:hint="eastAsia"/>
                <w:sz w:val="30"/>
                <w:szCs w:val="30"/>
              </w:rPr>
            </w:pPr>
            <w:r>
              <w:rPr>
                <w:rStyle w:val="a5"/>
                <w:rFonts w:ascii="仿宋_GB2312" w:eastAsia="仿宋_GB2312" w:hAnsi="仿宋_GB2312" w:cs="仿宋_GB2312" w:hint="eastAsia"/>
                <w:b w:val="0"/>
                <w:bCs/>
                <w:sz w:val="30"/>
                <w:szCs w:val="30"/>
              </w:rPr>
              <w:t>校外教学点初审不通过的，</w:t>
            </w:r>
            <w:r>
              <w:rPr>
                <w:rFonts w:ascii="仿宋_GB2312" w:eastAsia="仿宋_GB2312" w:hAnsi="仿宋_GB2312" w:cs="仿宋_GB2312" w:hint="eastAsia"/>
                <w:bCs/>
                <w:sz w:val="30"/>
                <w:szCs w:val="30"/>
              </w:rPr>
              <w:t>终止本次学位申请。</w:t>
            </w:r>
          </w:p>
        </w:tc>
      </w:tr>
      <w:tr w:rsidR="00BB49E7" w14:paraId="0A0E2AEC"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5EF3FA67"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3月17日至3月20日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FE97CC2"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继续教育学院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8B2C323"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资格审查、申请材料形式审核。</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A7FEC4D"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审查（审核）不通过的，终止本次学位申请。</w:t>
            </w:r>
          </w:p>
        </w:tc>
      </w:tr>
      <w:tr w:rsidR="00BB49E7" w14:paraId="0EDCB2AE"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1B66CBA"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3月21日至4月14日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3F65F9A"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专业所在学院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CE366DA"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在教学教务平台下载申请人毕业设计（论文）及支撑材料，并</w:t>
            </w:r>
            <w:r>
              <w:rPr>
                <w:rFonts w:ascii="仿宋_GB2312" w:eastAsia="仿宋_GB2312" w:hAnsi="仿宋_GB2312" w:cs="仿宋_GB2312" w:hint="eastAsia"/>
                <w:color w:val="000000"/>
                <w:sz w:val="30"/>
                <w:szCs w:val="30"/>
              </w:rPr>
              <w:lastRenderedPageBreak/>
              <w:t>进行质量审核（一审）；提交审核结论及审核意见。</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1517D59"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一审结论为“不通过”的，终止本次学位申请。</w:t>
            </w:r>
          </w:p>
          <w:p w14:paraId="052408D6" w14:textId="77777777" w:rsidR="00BB49E7" w:rsidRDefault="00BB49E7">
            <w:pPr>
              <w:pStyle w:val="a4"/>
              <w:spacing w:beforeAutospacing="0" w:afterAutospacing="0" w:line="480" w:lineRule="exact"/>
              <w:jc w:val="both"/>
              <w:rPr>
                <w:rFonts w:ascii="仿宋_GB2312" w:eastAsia="仿宋_GB2312" w:hAnsi="仿宋_GB2312" w:cs="仿宋_GB2312" w:hint="eastAsia"/>
                <w:color w:val="000000"/>
                <w:sz w:val="30"/>
                <w:szCs w:val="30"/>
              </w:rPr>
            </w:pPr>
          </w:p>
        </w:tc>
      </w:tr>
      <w:tr w:rsidR="00BB49E7" w14:paraId="15CE3CEC"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27D8F82"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4月15日至4月28日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C30E8E2"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申请人</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267CD07"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1.一审结论为“通过”的，根据审核意见修改后，提交毕业设计（论文）最终稿和最新查重报告等材料。</w:t>
            </w:r>
          </w:p>
          <w:p w14:paraId="72B48DDE"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2.一审结论为“修改后再审”的，修改并提交修改后毕业设计（论文）和最新查重报告等材料。</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A4D5BF6"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逾期未提交材料的，终止本次学位申请。</w:t>
            </w:r>
          </w:p>
        </w:tc>
      </w:tr>
      <w:tr w:rsidR="00BB49E7" w14:paraId="47711947"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38CBC0F"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4月29日至5月20日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CEC5604"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专业所在学院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EB85545"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修改后毕业设计（论文）质量审核（二审）。</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DA1B4BD"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二审结论为“不通过”的，终止本次学位申请。</w:t>
            </w:r>
          </w:p>
        </w:tc>
      </w:tr>
      <w:tr w:rsidR="00BB49E7" w14:paraId="2F4BB574"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CE1A9E4"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5月21日至6月4日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D6B4BEA"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申请人</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B23239B"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二审结论为“通过”的，根据审核意见修改后，提交毕业设计（论文）最终稿和最新查重报告等材料。</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01B41A7"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逾期未提交材料的，终止本次学位申请。</w:t>
            </w:r>
          </w:p>
        </w:tc>
      </w:tr>
      <w:tr w:rsidR="00BB49E7" w14:paraId="3690C79F"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D0CAC49"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6月5日至6月8日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12747DC6"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继续教育学院、申请人、校外教学点</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BD91910"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1.申请人登录学位申请审核系统，完成</w:t>
            </w:r>
            <w:r>
              <w:rPr>
                <w:rStyle w:val="a5"/>
                <w:rFonts w:ascii="仿宋_GB2312" w:eastAsia="仿宋_GB2312" w:hAnsi="仿宋_GB2312" w:cs="仿宋_GB2312" w:hint="eastAsia"/>
                <w:b w:val="0"/>
                <w:color w:val="000000"/>
                <w:sz w:val="30"/>
                <w:szCs w:val="30"/>
              </w:rPr>
              <w:t>信息核对并确认。</w:t>
            </w:r>
          </w:p>
          <w:p w14:paraId="189202BF"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2.校外教学点：通知和督促申请人按时完成信息核对和确认。</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762C48F"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Style w:val="a5"/>
                <w:rFonts w:ascii="仿宋_GB2312" w:eastAsia="仿宋_GB2312" w:hAnsi="仿宋_GB2312" w:cs="仿宋_GB2312" w:hint="eastAsia"/>
                <w:b w:val="0"/>
                <w:color w:val="000000"/>
                <w:sz w:val="30"/>
                <w:szCs w:val="30"/>
              </w:rPr>
              <w:t>未在系统内核对和确认个人信息的，视为自愿放弃，终止本次学位申请。</w:t>
            </w:r>
          </w:p>
        </w:tc>
      </w:tr>
      <w:tr w:rsidR="00BB49E7" w14:paraId="2B07CC32"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165BFC5"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6月9日至</w:t>
            </w:r>
            <w:r>
              <w:rPr>
                <w:rFonts w:ascii="仿宋_GB2312" w:eastAsia="仿宋_GB2312" w:hAnsi="仿宋_GB2312" w:cs="仿宋_GB2312" w:hint="eastAsia"/>
                <w:color w:val="000000"/>
                <w:sz w:val="30"/>
                <w:szCs w:val="30"/>
              </w:rPr>
              <w:lastRenderedPageBreak/>
              <w:t>6月11日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F36C0BA"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专业所在</w:t>
            </w:r>
            <w:r>
              <w:rPr>
                <w:rFonts w:ascii="仿宋_GB2312" w:eastAsia="仿宋_GB2312" w:hAnsi="仿宋_GB2312" w:cs="仿宋_GB2312" w:hint="eastAsia"/>
                <w:color w:val="000000"/>
                <w:sz w:val="30"/>
                <w:szCs w:val="30"/>
              </w:rPr>
              <w:lastRenderedPageBreak/>
              <w:t>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05B91D9"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学位</w:t>
            </w:r>
            <w:proofErr w:type="gramStart"/>
            <w:r>
              <w:rPr>
                <w:rFonts w:ascii="仿宋_GB2312" w:eastAsia="仿宋_GB2312" w:hAnsi="仿宋_GB2312" w:cs="仿宋_GB2312" w:hint="eastAsia"/>
                <w:color w:val="000000"/>
                <w:sz w:val="30"/>
                <w:szCs w:val="30"/>
              </w:rPr>
              <w:t>评定分</w:t>
            </w:r>
            <w:proofErr w:type="gramEnd"/>
            <w:r>
              <w:rPr>
                <w:rFonts w:ascii="仿宋_GB2312" w:eastAsia="仿宋_GB2312" w:hAnsi="仿宋_GB2312" w:cs="仿宋_GB2312" w:hint="eastAsia"/>
                <w:color w:val="000000"/>
                <w:sz w:val="30"/>
                <w:szCs w:val="30"/>
              </w:rPr>
              <w:t>委员会表</w:t>
            </w:r>
            <w:r>
              <w:rPr>
                <w:rFonts w:ascii="仿宋_GB2312" w:eastAsia="仿宋_GB2312" w:hAnsi="仿宋_GB2312" w:cs="仿宋_GB2312" w:hint="eastAsia"/>
                <w:color w:val="000000"/>
                <w:sz w:val="30"/>
                <w:szCs w:val="30"/>
              </w:rPr>
              <w:lastRenderedPageBreak/>
              <w:t>决。</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15474332"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表决不通过的，终</w:t>
            </w:r>
            <w:r>
              <w:rPr>
                <w:rFonts w:ascii="仿宋_GB2312" w:eastAsia="仿宋_GB2312" w:hAnsi="仿宋_GB2312" w:cs="仿宋_GB2312" w:hint="eastAsia"/>
                <w:color w:val="000000"/>
                <w:sz w:val="30"/>
                <w:szCs w:val="30"/>
              </w:rPr>
              <w:lastRenderedPageBreak/>
              <w:t>止本次学位申请。</w:t>
            </w:r>
          </w:p>
        </w:tc>
      </w:tr>
      <w:tr w:rsidR="00BB49E7" w14:paraId="073E1AF5"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EA3F848"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lastRenderedPageBreak/>
              <w:t>6月12日至6月13日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7C01562"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继续教育学院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4F6347EC"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学位</w:t>
            </w:r>
            <w:proofErr w:type="gramStart"/>
            <w:r>
              <w:rPr>
                <w:rFonts w:ascii="仿宋_GB2312" w:eastAsia="仿宋_GB2312" w:hAnsi="仿宋_GB2312" w:cs="仿宋_GB2312" w:hint="eastAsia"/>
                <w:color w:val="000000"/>
                <w:sz w:val="30"/>
                <w:szCs w:val="30"/>
              </w:rPr>
              <w:t>评定分</w:t>
            </w:r>
            <w:proofErr w:type="gramEnd"/>
            <w:r>
              <w:rPr>
                <w:rFonts w:ascii="仿宋_GB2312" w:eastAsia="仿宋_GB2312" w:hAnsi="仿宋_GB2312" w:cs="仿宋_GB2312" w:hint="eastAsia"/>
                <w:color w:val="000000"/>
                <w:sz w:val="30"/>
                <w:szCs w:val="30"/>
              </w:rPr>
              <w:t>委员会表决。</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33A6948"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表决不通过的，终止本次学位申请。</w:t>
            </w:r>
          </w:p>
        </w:tc>
      </w:tr>
      <w:tr w:rsidR="00BB49E7" w14:paraId="4DC22304"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ADB57CB"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6月13日至6月17日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A53716A"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继续教育学院、校学位办</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7D187B64"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准备学校学位评定委员会相关材料。</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695970AB"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 </w:t>
            </w:r>
          </w:p>
        </w:tc>
      </w:tr>
      <w:tr w:rsidR="00BB49E7" w14:paraId="16D91489"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6D249DD"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6月18日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ACA73C0"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校学位办</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5AE347E"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学校学位评定委员会表决。</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16C1E31A"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表决不通过的，终止本次学位申请。</w:t>
            </w:r>
          </w:p>
        </w:tc>
      </w:tr>
      <w:tr w:rsidR="00BB49E7" w14:paraId="749FBB07"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0D992BE3"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6月18日至6月20日</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5408DE69"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校学位办、继续教育学院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1EDAC64F"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印制学位证书。</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5BDAED8A"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 </w:t>
            </w:r>
          </w:p>
        </w:tc>
      </w:tr>
      <w:tr w:rsidR="00BB49E7" w14:paraId="68D88F75" w14:textId="77777777" w:rsidTr="00E8340F">
        <w:trPr>
          <w:jc w:val="center"/>
        </w:trPr>
        <w:tc>
          <w:tcPr>
            <w:tcW w:w="1744"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8DAEA7B"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6月20日之后</w:t>
            </w:r>
          </w:p>
        </w:tc>
        <w:tc>
          <w:tcPr>
            <w:tcW w:w="160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2019A5AB" w14:textId="77777777" w:rsidR="00BB49E7" w:rsidRDefault="00000000">
            <w:pPr>
              <w:pStyle w:val="a4"/>
              <w:spacing w:beforeAutospacing="0" w:afterAutospacing="0" w:line="480" w:lineRule="exact"/>
              <w:jc w:val="center"/>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继续教育学院</w:t>
            </w:r>
          </w:p>
        </w:tc>
        <w:tc>
          <w:tcPr>
            <w:tcW w:w="2983"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1057B8D7"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发放学位证书。</w:t>
            </w:r>
          </w:p>
        </w:tc>
        <w:tc>
          <w:tcPr>
            <w:tcW w:w="2519" w:type="dxa"/>
            <w:tcBorders>
              <w:top w:val="outset" w:sz="6" w:space="0" w:color="auto"/>
              <w:left w:val="outset" w:sz="6" w:space="0" w:color="auto"/>
              <w:bottom w:val="outset" w:sz="6" w:space="0" w:color="auto"/>
              <w:right w:val="outset" w:sz="6" w:space="0" w:color="auto"/>
            </w:tcBorders>
            <w:shd w:val="clear" w:color="auto" w:fill="auto"/>
            <w:tcMar>
              <w:top w:w="0" w:type="dxa"/>
              <w:left w:w="113" w:type="dxa"/>
              <w:bottom w:w="0" w:type="dxa"/>
              <w:right w:w="113" w:type="dxa"/>
            </w:tcMar>
            <w:vAlign w:val="center"/>
          </w:tcPr>
          <w:p w14:paraId="34CB373B" w14:textId="77777777" w:rsidR="00BB49E7" w:rsidRDefault="00000000">
            <w:pPr>
              <w:pStyle w:val="a4"/>
              <w:spacing w:beforeAutospacing="0" w:afterAutospacing="0" w:line="480" w:lineRule="exact"/>
              <w:jc w:val="both"/>
              <w:rPr>
                <w:rFonts w:ascii="仿宋_GB2312" w:eastAsia="仿宋_GB2312" w:hAnsi="仿宋_GB2312" w:cs="仿宋_GB2312" w:hint="eastAsia"/>
                <w:color w:val="000000"/>
                <w:sz w:val="30"/>
                <w:szCs w:val="30"/>
              </w:rPr>
            </w:pPr>
            <w:r>
              <w:rPr>
                <w:rFonts w:ascii="仿宋_GB2312" w:eastAsia="仿宋_GB2312" w:hAnsi="仿宋_GB2312" w:cs="仿宋_GB2312" w:hint="eastAsia"/>
                <w:color w:val="000000"/>
                <w:sz w:val="30"/>
                <w:szCs w:val="30"/>
              </w:rPr>
              <w:t> </w:t>
            </w:r>
          </w:p>
        </w:tc>
      </w:tr>
    </w:tbl>
    <w:p w14:paraId="4555623C" w14:textId="77777777" w:rsidR="00BB49E7" w:rsidRDefault="00000000">
      <w:pPr>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说明：若时间安排调整，学校将另行通知。</w:t>
      </w:r>
    </w:p>
    <w:p w14:paraId="140D69B0" w14:textId="77777777" w:rsidR="00BB49E7" w:rsidRDefault="00BB49E7">
      <w:pPr>
        <w:jc w:val="left"/>
        <w:rPr>
          <w:rFonts w:ascii="方正小标宋简体" w:eastAsia="方正小标宋简体" w:hAnsi="方正小标宋简体" w:cs="方正小标宋简体" w:hint="eastAsia"/>
          <w:b/>
          <w:bCs/>
          <w:sz w:val="36"/>
          <w:szCs w:val="36"/>
        </w:rPr>
      </w:pPr>
    </w:p>
    <w:sectPr w:rsidR="00BB4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A4A1" w14:textId="77777777" w:rsidR="000B5BBF" w:rsidRDefault="000B5BBF" w:rsidP="00E8340F">
      <w:r>
        <w:separator/>
      </w:r>
    </w:p>
  </w:endnote>
  <w:endnote w:type="continuationSeparator" w:id="0">
    <w:p w14:paraId="2E0183D3" w14:textId="77777777" w:rsidR="000B5BBF" w:rsidRDefault="000B5BBF" w:rsidP="00E8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10BE" w14:textId="77777777" w:rsidR="000B5BBF" w:rsidRDefault="000B5BBF" w:rsidP="00E8340F">
      <w:r>
        <w:separator/>
      </w:r>
    </w:p>
  </w:footnote>
  <w:footnote w:type="continuationSeparator" w:id="0">
    <w:p w14:paraId="66F0FF68" w14:textId="77777777" w:rsidR="000B5BBF" w:rsidRDefault="000B5BBF" w:rsidP="00E83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3D3FD1"/>
    <w:rsid w:val="000B5BBF"/>
    <w:rsid w:val="00533430"/>
    <w:rsid w:val="00BB49E7"/>
    <w:rsid w:val="00E8340F"/>
    <w:rsid w:val="289D7F54"/>
    <w:rsid w:val="2C6B6D30"/>
    <w:rsid w:val="2F893188"/>
    <w:rsid w:val="703D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39A408C-5963-4F6A-9F5C-2FCF12BF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Normal (Web)"/>
    <w:basedOn w:val="a"/>
    <w:qFormat/>
    <w:pPr>
      <w:spacing w:beforeAutospacing="1" w:afterAutospacing="1"/>
      <w:jc w:val="left"/>
    </w:pPr>
    <w:rPr>
      <w:rFonts w:cs="Times New Roman"/>
      <w:kern w:val="0"/>
      <w:sz w:val="24"/>
    </w:rPr>
  </w:style>
  <w:style w:type="paragraph" w:styleId="2">
    <w:name w:val="Body Text First Indent 2"/>
    <w:basedOn w:val="a3"/>
    <w:qFormat/>
    <w:pPr>
      <w:ind w:firstLine="420"/>
    </w:pPr>
  </w:style>
  <w:style w:type="character" w:styleId="a5">
    <w:name w:val="Strong"/>
    <w:basedOn w:val="a0"/>
    <w:qFormat/>
    <w:rPr>
      <w:b/>
    </w:rPr>
  </w:style>
  <w:style w:type="paragraph" w:styleId="a6">
    <w:name w:val="Revision"/>
    <w:hidden/>
    <w:uiPriority w:val="99"/>
    <w:unhideWhenUsed/>
    <w:rsid w:val="00E8340F"/>
    <w:rPr>
      <w:kern w:val="2"/>
      <w:sz w:val="21"/>
      <w:szCs w:val="24"/>
    </w:rPr>
  </w:style>
  <w:style w:type="paragraph" w:styleId="a7">
    <w:name w:val="header"/>
    <w:basedOn w:val="a"/>
    <w:link w:val="a8"/>
    <w:rsid w:val="00E8340F"/>
    <w:pPr>
      <w:tabs>
        <w:tab w:val="center" w:pos="4153"/>
        <w:tab w:val="right" w:pos="8306"/>
      </w:tabs>
      <w:snapToGrid w:val="0"/>
      <w:jc w:val="center"/>
    </w:pPr>
    <w:rPr>
      <w:sz w:val="18"/>
      <w:szCs w:val="18"/>
    </w:rPr>
  </w:style>
  <w:style w:type="character" w:customStyle="1" w:styleId="a8">
    <w:name w:val="页眉 字符"/>
    <w:basedOn w:val="a0"/>
    <w:link w:val="a7"/>
    <w:rsid w:val="00E8340F"/>
    <w:rPr>
      <w:kern w:val="2"/>
      <w:sz w:val="18"/>
      <w:szCs w:val="18"/>
    </w:rPr>
  </w:style>
  <w:style w:type="paragraph" w:styleId="a9">
    <w:name w:val="footer"/>
    <w:basedOn w:val="a"/>
    <w:link w:val="aa"/>
    <w:rsid w:val="00E8340F"/>
    <w:pPr>
      <w:tabs>
        <w:tab w:val="center" w:pos="4153"/>
        <w:tab w:val="right" w:pos="8306"/>
      </w:tabs>
      <w:snapToGrid w:val="0"/>
      <w:jc w:val="left"/>
    </w:pPr>
    <w:rPr>
      <w:sz w:val="18"/>
      <w:szCs w:val="18"/>
    </w:rPr>
  </w:style>
  <w:style w:type="character" w:customStyle="1" w:styleId="aa">
    <w:name w:val="页脚 字符"/>
    <w:basedOn w:val="a0"/>
    <w:link w:val="a9"/>
    <w:rsid w:val="00E8340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初夏</dc:creator>
  <cp:lastModifiedBy>yun ma</cp:lastModifiedBy>
  <cp:revision>2</cp:revision>
  <dcterms:created xsi:type="dcterms:W3CDTF">2025-02-28T07:53:00Z</dcterms:created>
  <dcterms:modified xsi:type="dcterms:W3CDTF">2025-02-28T12:10:00Z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8BB1DD4FF387416F91625BC217C5A397_11</vt:lpwstr>
  </property>
  <property fmtid="{D5CDD505-2E9C-101B-9397-08002B2CF9AE}" pid="4" name="KSOTemplateDocerSaveRecord">
    <vt:lpwstr>eyJoZGlkIjoiYzdlOWZmYzkzYWVmNmZiZjJhYzRhODk1NWY1ZjgyNmIiLCJ1c2VySWQiOiI0MzQ5OTM3NzgifQ==</vt:lpwstr>
  </property>
</Properties>
</file>